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BBB" w:rsidRDefault="008D14DC" w:rsidP="008D14DC">
      <w:pPr>
        <w:jc w:val="center"/>
      </w:pPr>
      <w:r>
        <w:t>Реестр проверок в БУ «Сург</w:t>
      </w:r>
      <w:r w:rsidR="00B3698D">
        <w:t>у</w:t>
      </w:r>
      <w:r>
        <w:t xml:space="preserve">тский районный центр социальной адаптации» </w:t>
      </w:r>
    </w:p>
    <w:p w:rsidR="009E50E5" w:rsidRDefault="008D14DC" w:rsidP="008D14DC">
      <w:pPr>
        <w:jc w:val="center"/>
      </w:pPr>
      <w:r>
        <w:t>за 2022</w:t>
      </w:r>
      <w:r w:rsidR="00085D05">
        <w:t xml:space="preserve"> год</w:t>
      </w:r>
    </w:p>
    <w:tbl>
      <w:tblPr>
        <w:tblStyle w:val="a3"/>
        <w:tblW w:w="15370" w:type="dxa"/>
        <w:tblLook w:val="04A0" w:firstRow="1" w:lastRow="0" w:firstColumn="1" w:lastColumn="0" w:noHBand="0" w:noVBand="1"/>
      </w:tblPr>
      <w:tblGrid>
        <w:gridCol w:w="424"/>
        <w:gridCol w:w="1278"/>
        <w:gridCol w:w="1886"/>
        <w:gridCol w:w="2087"/>
        <w:gridCol w:w="1712"/>
        <w:gridCol w:w="7983"/>
      </w:tblGrid>
      <w:tr w:rsidR="00BE3645" w:rsidTr="00085D05">
        <w:tc>
          <w:tcPr>
            <w:tcW w:w="424" w:type="dxa"/>
          </w:tcPr>
          <w:p w:rsidR="00BE3645" w:rsidRPr="008D14DC" w:rsidRDefault="00BE3645" w:rsidP="008D14DC">
            <w:pPr>
              <w:rPr>
                <w:rFonts w:cs="Times New Roman"/>
                <w:b/>
                <w:bCs/>
                <w:color w:val="000000"/>
                <w:sz w:val="20"/>
                <w:szCs w:val="20"/>
              </w:rPr>
            </w:pPr>
            <w:r w:rsidRPr="008D14DC">
              <w:rPr>
                <w:rFonts w:cs="Times New Roman"/>
                <w:b/>
                <w:bCs/>
                <w:color w:val="000000"/>
                <w:sz w:val="20"/>
                <w:szCs w:val="20"/>
              </w:rPr>
              <w:t>№</w:t>
            </w:r>
          </w:p>
          <w:p w:rsidR="00BE3645" w:rsidRPr="008D14DC" w:rsidRDefault="00BE3645">
            <w:pPr>
              <w:rPr>
                <w:rFonts w:cs="Times New Roman"/>
                <w:sz w:val="20"/>
                <w:szCs w:val="20"/>
              </w:rPr>
            </w:pPr>
          </w:p>
        </w:tc>
        <w:tc>
          <w:tcPr>
            <w:tcW w:w="1278" w:type="dxa"/>
          </w:tcPr>
          <w:p w:rsidR="00BE3645" w:rsidRPr="008D14DC" w:rsidRDefault="00BE3645" w:rsidP="008D14DC">
            <w:pPr>
              <w:rPr>
                <w:rFonts w:cs="Times New Roman"/>
                <w:b/>
                <w:bCs/>
                <w:color w:val="000000"/>
                <w:sz w:val="20"/>
                <w:szCs w:val="20"/>
              </w:rPr>
            </w:pPr>
            <w:r w:rsidRPr="008D14DC">
              <w:rPr>
                <w:rFonts w:cs="Times New Roman"/>
                <w:b/>
                <w:bCs/>
                <w:color w:val="000000"/>
                <w:sz w:val="20"/>
                <w:szCs w:val="20"/>
              </w:rPr>
              <w:t>Период проведения проверки</w:t>
            </w:r>
          </w:p>
          <w:p w:rsidR="00BE3645" w:rsidRPr="008D14DC" w:rsidRDefault="00BE3645">
            <w:pPr>
              <w:rPr>
                <w:rFonts w:cs="Times New Roman"/>
                <w:sz w:val="20"/>
                <w:szCs w:val="20"/>
              </w:rPr>
            </w:pPr>
          </w:p>
        </w:tc>
        <w:tc>
          <w:tcPr>
            <w:tcW w:w="1886" w:type="dxa"/>
          </w:tcPr>
          <w:p w:rsidR="00BE3645" w:rsidRPr="008D14DC" w:rsidRDefault="00BE3645" w:rsidP="008D14DC">
            <w:pPr>
              <w:rPr>
                <w:rFonts w:cs="Times New Roman"/>
                <w:b/>
                <w:bCs/>
                <w:color w:val="000000"/>
                <w:sz w:val="20"/>
                <w:szCs w:val="20"/>
              </w:rPr>
            </w:pPr>
            <w:r w:rsidRPr="008D14DC">
              <w:rPr>
                <w:rFonts w:cs="Times New Roman"/>
                <w:b/>
                <w:bCs/>
                <w:color w:val="000000"/>
                <w:sz w:val="20"/>
                <w:szCs w:val="20"/>
              </w:rPr>
              <w:t>Наименование контрольно-надзорного органа</w:t>
            </w:r>
          </w:p>
          <w:p w:rsidR="00BE3645" w:rsidRPr="008D14DC" w:rsidRDefault="00BE3645">
            <w:pPr>
              <w:rPr>
                <w:rFonts w:cs="Times New Roman"/>
                <w:sz w:val="20"/>
                <w:szCs w:val="20"/>
              </w:rPr>
            </w:pPr>
          </w:p>
        </w:tc>
        <w:tc>
          <w:tcPr>
            <w:tcW w:w="2087" w:type="dxa"/>
          </w:tcPr>
          <w:p w:rsidR="00BE3645" w:rsidRPr="008D14DC" w:rsidRDefault="00BE3645" w:rsidP="008D14DC">
            <w:pPr>
              <w:rPr>
                <w:rFonts w:cs="Times New Roman"/>
                <w:b/>
                <w:bCs/>
                <w:color w:val="000000"/>
                <w:sz w:val="20"/>
                <w:szCs w:val="20"/>
              </w:rPr>
            </w:pPr>
            <w:r w:rsidRPr="008D14DC">
              <w:rPr>
                <w:rFonts w:cs="Times New Roman"/>
                <w:b/>
                <w:bCs/>
                <w:color w:val="000000"/>
                <w:sz w:val="20"/>
                <w:szCs w:val="20"/>
              </w:rPr>
              <w:t>Основания для проведения плановой или внеплановой проверки (реквизиты приказа, распоряжения и др.)</w:t>
            </w:r>
          </w:p>
          <w:p w:rsidR="00BE3645" w:rsidRPr="008D14DC" w:rsidRDefault="00BE3645">
            <w:pPr>
              <w:rPr>
                <w:rFonts w:cs="Times New Roman"/>
                <w:sz w:val="20"/>
                <w:szCs w:val="20"/>
              </w:rPr>
            </w:pPr>
          </w:p>
        </w:tc>
        <w:tc>
          <w:tcPr>
            <w:tcW w:w="1712" w:type="dxa"/>
          </w:tcPr>
          <w:p w:rsidR="00BE3645" w:rsidRPr="008D14DC" w:rsidRDefault="00BE3645" w:rsidP="008D14DC">
            <w:pPr>
              <w:rPr>
                <w:rFonts w:cs="Times New Roman"/>
                <w:b/>
                <w:bCs/>
                <w:color w:val="000000"/>
                <w:sz w:val="20"/>
                <w:szCs w:val="20"/>
              </w:rPr>
            </w:pPr>
            <w:r w:rsidRPr="008D14DC">
              <w:rPr>
                <w:rFonts w:cs="Times New Roman"/>
                <w:b/>
                <w:bCs/>
                <w:color w:val="000000"/>
                <w:sz w:val="20"/>
                <w:szCs w:val="20"/>
              </w:rPr>
              <w:t>Реквизиты акта проверки, предписания, представления, указания и др.</w:t>
            </w:r>
          </w:p>
          <w:p w:rsidR="00BE3645" w:rsidRPr="008D14DC" w:rsidRDefault="00BE3645">
            <w:pPr>
              <w:rPr>
                <w:rFonts w:cs="Times New Roman"/>
                <w:sz w:val="20"/>
                <w:szCs w:val="20"/>
              </w:rPr>
            </w:pPr>
          </w:p>
        </w:tc>
        <w:tc>
          <w:tcPr>
            <w:tcW w:w="7983" w:type="dxa"/>
          </w:tcPr>
          <w:p w:rsidR="00BE3645" w:rsidRPr="008D14DC" w:rsidRDefault="00BE3645" w:rsidP="008D14DC">
            <w:pPr>
              <w:rPr>
                <w:rFonts w:cs="Times New Roman"/>
                <w:b/>
                <w:bCs/>
                <w:color w:val="000000"/>
                <w:sz w:val="20"/>
                <w:szCs w:val="20"/>
              </w:rPr>
            </w:pPr>
            <w:r w:rsidRPr="008D14DC">
              <w:rPr>
                <w:rFonts w:cs="Times New Roman"/>
                <w:b/>
                <w:bCs/>
                <w:color w:val="000000"/>
                <w:sz w:val="20"/>
                <w:szCs w:val="20"/>
              </w:rPr>
              <w:t>Краткое содержание выявленных нарушений (или нарушений не выявлено) с указанием нарушений требований ФЗ</w:t>
            </w:r>
          </w:p>
          <w:p w:rsidR="00BE3645" w:rsidRPr="008D14DC" w:rsidRDefault="00BE3645">
            <w:pPr>
              <w:rPr>
                <w:rFonts w:cs="Times New Roman"/>
                <w:sz w:val="20"/>
                <w:szCs w:val="20"/>
              </w:rPr>
            </w:pPr>
          </w:p>
        </w:tc>
      </w:tr>
      <w:tr w:rsidR="00510BBB" w:rsidTr="00085D05">
        <w:tc>
          <w:tcPr>
            <w:tcW w:w="15370" w:type="dxa"/>
            <w:gridSpan w:val="6"/>
          </w:tcPr>
          <w:p w:rsidR="00510BBB" w:rsidRPr="008D14DC" w:rsidRDefault="00510BBB" w:rsidP="00510BBB">
            <w:pPr>
              <w:jc w:val="center"/>
              <w:rPr>
                <w:rFonts w:cs="Times New Roman"/>
                <w:b/>
                <w:bCs/>
                <w:color w:val="000000"/>
                <w:sz w:val="20"/>
                <w:szCs w:val="20"/>
              </w:rPr>
            </w:pPr>
            <w:r>
              <w:rPr>
                <w:rFonts w:cs="Times New Roman"/>
                <w:b/>
                <w:bCs/>
                <w:color w:val="000000"/>
                <w:sz w:val="20"/>
                <w:szCs w:val="20"/>
              </w:rPr>
              <w:t>1 квартал</w:t>
            </w:r>
          </w:p>
        </w:tc>
      </w:tr>
      <w:tr w:rsidR="00BE3645" w:rsidTr="00085D05">
        <w:tc>
          <w:tcPr>
            <w:tcW w:w="424" w:type="dxa"/>
          </w:tcPr>
          <w:p w:rsidR="00BE3645" w:rsidRPr="008D14DC" w:rsidRDefault="00BE3645">
            <w:pPr>
              <w:rPr>
                <w:rFonts w:cs="Times New Roman"/>
                <w:sz w:val="20"/>
                <w:szCs w:val="20"/>
              </w:rPr>
            </w:pPr>
            <w:r>
              <w:rPr>
                <w:rFonts w:cs="Times New Roman"/>
                <w:sz w:val="20"/>
                <w:szCs w:val="20"/>
              </w:rPr>
              <w:t>1.</w:t>
            </w:r>
          </w:p>
        </w:tc>
        <w:tc>
          <w:tcPr>
            <w:tcW w:w="1278" w:type="dxa"/>
          </w:tcPr>
          <w:p w:rsidR="00BE3645" w:rsidRPr="008D14DC" w:rsidRDefault="00BE3645">
            <w:pPr>
              <w:rPr>
                <w:rFonts w:cs="Times New Roman"/>
                <w:sz w:val="20"/>
                <w:szCs w:val="20"/>
              </w:rPr>
            </w:pPr>
            <w:r w:rsidRPr="008D14DC">
              <w:rPr>
                <w:rFonts w:cs="Times New Roman"/>
                <w:sz w:val="20"/>
                <w:szCs w:val="20"/>
              </w:rPr>
              <w:t>19.01.2022-28.01.2022</w:t>
            </w:r>
          </w:p>
        </w:tc>
        <w:tc>
          <w:tcPr>
            <w:tcW w:w="1886" w:type="dxa"/>
          </w:tcPr>
          <w:p w:rsidR="00BE3645" w:rsidRPr="008D14DC" w:rsidRDefault="00BE3645">
            <w:pPr>
              <w:rPr>
                <w:rFonts w:cs="Times New Roman"/>
                <w:sz w:val="20"/>
                <w:szCs w:val="20"/>
              </w:rPr>
            </w:pPr>
            <w:r w:rsidRPr="008D14DC">
              <w:rPr>
                <w:rFonts w:cs="Times New Roman"/>
                <w:sz w:val="20"/>
                <w:szCs w:val="20"/>
              </w:rPr>
              <w:t xml:space="preserve">Отдел надзорной деятельности и профилактической работы (по </w:t>
            </w:r>
            <w:proofErr w:type="spellStart"/>
            <w:r w:rsidRPr="008D14DC">
              <w:rPr>
                <w:rFonts w:cs="Times New Roman"/>
                <w:sz w:val="20"/>
                <w:szCs w:val="20"/>
              </w:rPr>
              <w:t>Сургутскому</w:t>
            </w:r>
            <w:proofErr w:type="spellEnd"/>
            <w:r w:rsidRPr="008D14DC">
              <w:rPr>
                <w:rFonts w:cs="Times New Roman"/>
                <w:sz w:val="20"/>
                <w:szCs w:val="20"/>
              </w:rPr>
              <w:t xml:space="preserve"> району) Управления надзорной деятельности и профилактической работы Главного управления МЧС России по ХМАО-Югре</w:t>
            </w:r>
          </w:p>
        </w:tc>
        <w:tc>
          <w:tcPr>
            <w:tcW w:w="2087" w:type="dxa"/>
          </w:tcPr>
          <w:p w:rsidR="00510BBB" w:rsidRDefault="00BE3645">
            <w:pPr>
              <w:rPr>
                <w:rFonts w:cs="Times New Roman"/>
                <w:sz w:val="20"/>
                <w:szCs w:val="20"/>
              </w:rPr>
            </w:pPr>
            <w:r w:rsidRPr="008D14DC">
              <w:rPr>
                <w:rFonts w:cs="Times New Roman"/>
                <w:sz w:val="20"/>
                <w:szCs w:val="20"/>
              </w:rPr>
              <w:t xml:space="preserve">Решение от 13.01.2022 </w:t>
            </w:r>
          </w:p>
          <w:p w:rsidR="00510BBB" w:rsidRDefault="00BE3645">
            <w:pPr>
              <w:rPr>
                <w:rFonts w:cs="Times New Roman"/>
                <w:sz w:val="20"/>
                <w:szCs w:val="20"/>
              </w:rPr>
            </w:pPr>
            <w:r w:rsidRPr="008D14DC">
              <w:rPr>
                <w:rFonts w:cs="Times New Roman"/>
                <w:sz w:val="20"/>
                <w:szCs w:val="20"/>
              </w:rPr>
              <w:t>№ 86-12-2022/0001рс</w:t>
            </w:r>
            <w:r w:rsidR="00510BBB">
              <w:rPr>
                <w:rFonts w:cs="Times New Roman"/>
                <w:sz w:val="20"/>
                <w:szCs w:val="20"/>
              </w:rPr>
              <w:t>;</w:t>
            </w:r>
          </w:p>
          <w:p w:rsidR="00510BBB" w:rsidRDefault="00510BBB">
            <w:pPr>
              <w:rPr>
                <w:rFonts w:cs="Times New Roman"/>
                <w:sz w:val="20"/>
                <w:szCs w:val="20"/>
              </w:rPr>
            </w:pPr>
            <w:r w:rsidRPr="008D14DC">
              <w:rPr>
                <w:rFonts w:cs="Times New Roman"/>
                <w:sz w:val="20"/>
                <w:szCs w:val="20"/>
              </w:rPr>
              <w:t>№ 86-12-2022/0002рс</w:t>
            </w:r>
            <w:r>
              <w:rPr>
                <w:rFonts w:cs="Times New Roman"/>
                <w:sz w:val="20"/>
                <w:szCs w:val="20"/>
              </w:rPr>
              <w:t>;</w:t>
            </w:r>
          </w:p>
          <w:p w:rsidR="00510BBB" w:rsidRDefault="00510BBB">
            <w:pPr>
              <w:rPr>
                <w:rFonts w:cs="Times New Roman"/>
                <w:sz w:val="20"/>
                <w:szCs w:val="20"/>
              </w:rPr>
            </w:pPr>
            <w:r w:rsidRPr="008D14DC">
              <w:rPr>
                <w:rFonts w:cs="Times New Roman"/>
                <w:sz w:val="20"/>
                <w:szCs w:val="20"/>
              </w:rPr>
              <w:t>№ 86-12-2022/0003рс</w:t>
            </w:r>
            <w:r>
              <w:rPr>
                <w:rFonts w:cs="Times New Roman"/>
                <w:sz w:val="20"/>
                <w:szCs w:val="20"/>
              </w:rPr>
              <w:t>;</w:t>
            </w:r>
          </w:p>
          <w:p w:rsidR="00510BBB" w:rsidRDefault="00510BBB">
            <w:pPr>
              <w:rPr>
                <w:rFonts w:cs="Times New Roman"/>
                <w:sz w:val="20"/>
                <w:szCs w:val="20"/>
              </w:rPr>
            </w:pPr>
            <w:r w:rsidRPr="008D14DC">
              <w:rPr>
                <w:rFonts w:cs="Times New Roman"/>
                <w:sz w:val="20"/>
                <w:szCs w:val="20"/>
              </w:rPr>
              <w:t>№ 86-12-2022/0004рс</w:t>
            </w:r>
            <w:r>
              <w:rPr>
                <w:rFonts w:cs="Times New Roman"/>
                <w:sz w:val="20"/>
                <w:szCs w:val="20"/>
              </w:rPr>
              <w:t>;</w:t>
            </w:r>
          </w:p>
          <w:p w:rsidR="00BE3645" w:rsidRPr="008D14DC" w:rsidRDefault="00510BBB">
            <w:pPr>
              <w:rPr>
                <w:rFonts w:cs="Times New Roman"/>
                <w:sz w:val="20"/>
                <w:szCs w:val="20"/>
              </w:rPr>
            </w:pPr>
            <w:r w:rsidRPr="00E120E6">
              <w:rPr>
                <w:rFonts w:cs="Times New Roman"/>
                <w:sz w:val="20"/>
                <w:szCs w:val="20"/>
              </w:rPr>
              <w:t>№ 86-12-2022/0005рс</w:t>
            </w:r>
          </w:p>
        </w:tc>
        <w:tc>
          <w:tcPr>
            <w:tcW w:w="1712" w:type="dxa"/>
          </w:tcPr>
          <w:p w:rsidR="00BE3645" w:rsidRDefault="00BE3645">
            <w:pPr>
              <w:rPr>
                <w:rFonts w:cs="Times New Roman"/>
                <w:sz w:val="20"/>
                <w:szCs w:val="20"/>
              </w:rPr>
            </w:pPr>
            <w:r w:rsidRPr="00E120E6">
              <w:rPr>
                <w:rFonts w:cs="Times New Roman"/>
                <w:sz w:val="20"/>
                <w:szCs w:val="20"/>
              </w:rPr>
              <w:t>Акт о</w:t>
            </w:r>
            <w:r w:rsidR="00510BBB">
              <w:rPr>
                <w:rFonts w:cs="Times New Roman"/>
                <w:sz w:val="20"/>
                <w:szCs w:val="20"/>
              </w:rPr>
              <w:t>т 28.01.2022 № 86-12-2022/0001а;</w:t>
            </w:r>
          </w:p>
          <w:p w:rsidR="00510BBB" w:rsidRDefault="00510BBB">
            <w:pPr>
              <w:rPr>
                <w:rFonts w:cs="Times New Roman"/>
                <w:sz w:val="20"/>
                <w:szCs w:val="20"/>
              </w:rPr>
            </w:pPr>
            <w:r w:rsidRPr="00E120E6">
              <w:rPr>
                <w:rFonts w:cs="Times New Roman"/>
                <w:sz w:val="20"/>
                <w:szCs w:val="20"/>
              </w:rPr>
              <w:t>№ 86-12-202/0002ак</w:t>
            </w:r>
            <w:r>
              <w:rPr>
                <w:rFonts w:cs="Times New Roman"/>
                <w:sz w:val="20"/>
                <w:szCs w:val="20"/>
              </w:rPr>
              <w:t>;</w:t>
            </w:r>
            <w:r w:rsidRPr="00E120E6">
              <w:rPr>
                <w:rFonts w:cs="Times New Roman"/>
                <w:sz w:val="20"/>
                <w:szCs w:val="20"/>
              </w:rPr>
              <w:t xml:space="preserve"> </w:t>
            </w:r>
          </w:p>
          <w:p w:rsidR="00510BBB" w:rsidRDefault="00510BBB">
            <w:pPr>
              <w:rPr>
                <w:rFonts w:cs="Times New Roman"/>
                <w:sz w:val="20"/>
                <w:szCs w:val="20"/>
              </w:rPr>
            </w:pPr>
            <w:r w:rsidRPr="00E120E6">
              <w:rPr>
                <w:rFonts w:cs="Times New Roman"/>
                <w:sz w:val="20"/>
                <w:szCs w:val="20"/>
              </w:rPr>
              <w:t>№ 86-12-2022/0003ак</w:t>
            </w:r>
            <w:r>
              <w:rPr>
                <w:rFonts w:cs="Times New Roman"/>
                <w:sz w:val="20"/>
                <w:szCs w:val="20"/>
              </w:rPr>
              <w:t>;</w:t>
            </w:r>
            <w:r w:rsidRPr="00E120E6">
              <w:rPr>
                <w:rFonts w:cs="Times New Roman"/>
                <w:sz w:val="20"/>
                <w:szCs w:val="20"/>
              </w:rPr>
              <w:t xml:space="preserve"> </w:t>
            </w:r>
          </w:p>
          <w:p w:rsidR="00510BBB" w:rsidRDefault="00510BBB">
            <w:pPr>
              <w:rPr>
                <w:rFonts w:cs="Times New Roman"/>
                <w:sz w:val="20"/>
                <w:szCs w:val="20"/>
              </w:rPr>
            </w:pPr>
            <w:r w:rsidRPr="00E120E6">
              <w:rPr>
                <w:rFonts w:cs="Times New Roman"/>
                <w:sz w:val="20"/>
                <w:szCs w:val="20"/>
              </w:rPr>
              <w:t>№ 86-12-2022/0004ак</w:t>
            </w:r>
            <w:r>
              <w:rPr>
                <w:rFonts w:cs="Times New Roman"/>
                <w:sz w:val="20"/>
                <w:szCs w:val="20"/>
              </w:rPr>
              <w:t>;</w:t>
            </w:r>
            <w:r w:rsidRPr="00E120E6">
              <w:rPr>
                <w:rFonts w:cs="Times New Roman"/>
                <w:sz w:val="20"/>
                <w:szCs w:val="20"/>
              </w:rPr>
              <w:t xml:space="preserve"> </w:t>
            </w:r>
          </w:p>
          <w:p w:rsidR="00510BBB" w:rsidRPr="008D14DC" w:rsidRDefault="00510BBB">
            <w:pPr>
              <w:rPr>
                <w:rFonts w:cs="Times New Roman"/>
                <w:sz w:val="20"/>
                <w:szCs w:val="20"/>
              </w:rPr>
            </w:pPr>
            <w:r w:rsidRPr="00E120E6">
              <w:rPr>
                <w:rFonts w:cs="Times New Roman"/>
                <w:sz w:val="20"/>
                <w:szCs w:val="20"/>
              </w:rPr>
              <w:t>№ 86-12-2022/0005ак</w:t>
            </w:r>
          </w:p>
        </w:tc>
        <w:tc>
          <w:tcPr>
            <w:tcW w:w="7983" w:type="dxa"/>
          </w:tcPr>
          <w:p w:rsidR="00BE3645" w:rsidRPr="008D14DC" w:rsidRDefault="00BE3645">
            <w:pPr>
              <w:rPr>
                <w:rFonts w:cs="Times New Roman"/>
                <w:sz w:val="20"/>
                <w:szCs w:val="20"/>
              </w:rPr>
            </w:pPr>
            <w:r>
              <w:rPr>
                <w:rFonts w:cs="Times New Roman"/>
                <w:sz w:val="20"/>
                <w:szCs w:val="20"/>
              </w:rPr>
              <w:t xml:space="preserve">Нарушений </w:t>
            </w:r>
            <w:r w:rsidR="00AC3E8F">
              <w:rPr>
                <w:rFonts w:cs="Times New Roman"/>
                <w:sz w:val="20"/>
                <w:szCs w:val="20"/>
              </w:rPr>
              <w:t>н</w:t>
            </w:r>
            <w:r>
              <w:rPr>
                <w:rFonts w:cs="Times New Roman"/>
                <w:sz w:val="20"/>
                <w:szCs w:val="20"/>
              </w:rPr>
              <w:t>е выявлено</w:t>
            </w:r>
          </w:p>
        </w:tc>
      </w:tr>
      <w:tr w:rsidR="00510BBB" w:rsidTr="00085D05">
        <w:tc>
          <w:tcPr>
            <w:tcW w:w="15370" w:type="dxa"/>
            <w:gridSpan w:val="6"/>
          </w:tcPr>
          <w:p w:rsidR="00510BBB" w:rsidRPr="00510BBB" w:rsidRDefault="00510BBB" w:rsidP="00510BBB">
            <w:pPr>
              <w:jc w:val="center"/>
              <w:rPr>
                <w:rFonts w:cs="Times New Roman"/>
                <w:b/>
                <w:sz w:val="20"/>
                <w:szCs w:val="20"/>
              </w:rPr>
            </w:pPr>
            <w:r w:rsidRPr="00510BBB">
              <w:rPr>
                <w:rFonts w:cs="Times New Roman"/>
                <w:b/>
                <w:sz w:val="20"/>
                <w:szCs w:val="20"/>
              </w:rPr>
              <w:t>2 квартал</w:t>
            </w:r>
          </w:p>
        </w:tc>
      </w:tr>
      <w:tr w:rsidR="00510BBB" w:rsidTr="00085D05">
        <w:tc>
          <w:tcPr>
            <w:tcW w:w="424" w:type="dxa"/>
          </w:tcPr>
          <w:p w:rsidR="00510BBB" w:rsidRDefault="00510BBB">
            <w:pPr>
              <w:rPr>
                <w:rFonts w:cs="Times New Roman"/>
                <w:sz w:val="20"/>
                <w:szCs w:val="20"/>
              </w:rPr>
            </w:pPr>
            <w:r>
              <w:rPr>
                <w:rFonts w:cs="Times New Roman"/>
                <w:sz w:val="20"/>
                <w:szCs w:val="20"/>
              </w:rPr>
              <w:t>-</w:t>
            </w:r>
          </w:p>
        </w:tc>
        <w:tc>
          <w:tcPr>
            <w:tcW w:w="1278" w:type="dxa"/>
          </w:tcPr>
          <w:p w:rsidR="00510BBB" w:rsidRPr="008D14DC" w:rsidRDefault="00510BBB">
            <w:pPr>
              <w:rPr>
                <w:rFonts w:cs="Times New Roman"/>
                <w:sz w:val="20"/>
                <w:szCs w:val="20"/>
              </w:rPr>
            </w:pPr>
            <w:r>
              <w:rPr>
                <w:rFonts w:cs="Times New Roman"/>
                <w:sz w:val="20"/>
                <w:szCs w:val="20"/>
              </w:rPr>
              <w:t>-</w:t>
            </w:r>
          </w:p>
        </w:tc>
        <w:tc>
          <w:tcPr>
            <w:tcW w:w="1886" w:type="dxa"/>
          </w:tcPr>
          <w:p w:rsidR="00510BBB" w:rsidRPr="008D14DC" w:rsidRDefault="00510BBB">
            <w:pPr>
              <w:rPr>
                <w:rFonts w:cs="Times New Roman"/>
                <w:sz w:val="20"/>
                <w:szCs w:val="20"/>
              </w:rPr>
            </w:pPr>
            <w:r>
              <w:rPr>
                <w:rFonts w:cs="Times New Roman"/>
                <w:sz w:val="20"/>
                <w:szCs w:val="20"/>
              </w:rPr>
              <w:t>-</w:t>
            </w:r>
          </w:p>
        </w:tc>
        <w:tc>
          <w:tcPr>
            <w:tcW w:w="2087" w:type="dxa"/>
          </w:tcPr>
          <w:p w:rsidR="00510BBB" w:rsidRPr="008D14DC" w:rsidRDefault="00510BBB">
            <w:pPr>
              <w:rPr>
                <w:rFonts w:cs="Times New Roman"/>
                <w:sz w:val="20"/>
                <w:szCs w:val="20"/>
              </w:rPr>
            </w:pPr>
            <w:r>
              <w:rPr>
                <w:rFonts w:cs="Times New Roman"/>
                <w:sz w:val="20"/>
                <w:szCs w:val="20"/>
              </w:rPr>
              <w:t>-</w:t>
            </w:r>
          </w:p>
        </w:tc>
        <w:tc>
          <w:tcPr>
            <w:tcW w:w="1712" w:type="dxa"/>
          </w:tcPr>
          <w:p w:rsidR="00510BBB" w:rsidRPr="00E120E6" w:rsidRDefault="00510BBB">
            <w:pPr>
              <w:rPr>
                <w:rFonts w:cs="Times New Roman"/>
                <w:sz w:val="20"/>
                <w:szCs w:val="20"/>
              </w:rPr>
            </w:pPr>
            <w:r>
              <w:rPr>
                <w:rFonts w:cs="Times New Roman"/>
                <w:sz w:val="20"/>
                <w:szCs w:val="20"/>
              </w:rPr>
              <w:t>-</w:t>
            </w:r>
          </w:p>
        </w:tc>
        <w:tc>
          <w:tcPr>
            <w:tcW w:w="7983" w:type="dxa"/>
          </w:tcPr>
          <w:p w:rsidR="00510BBB" w:rsidRDefault="00510BBB">
            <w:pPr>
              <w:rPr>
                <w:rFonts w:cs="Times New Roman"/>
                <w:sz w:val="20"/>
                <w:szCs w:val="20"/>
              </w:rPr>
            </w:pPr>
            <w:r>
              <w:rPr>
                <w:rFonts w:cs="Times New Roman"/>
                <w:sz w:val="20"/>
                <w:szCs w:val="20"/>
              </w:rPr>
              <w:t>-</w:t>
            </w:r>
          </w:p>
        </w:tc>
      </w:tr>
      <w:tr w:rsidR="00443934" w:rsidTr="00085D05">
        <w:tc>
          <w:tcPr>
            <w:tcW w:w="15370" w:type="dxa"/>
            <w:gridSpan w:val="6"/>
          </w:tcPr>
          <w:p w:rsidR="00443934" w:rsidRPr="00443934" w:rsidRDefault="00443934" w:rsidP="00443934">
            <w:pPr>
              <w:jc w:val="center"/>
              <w:rPr>
                <w:rFonts w:cs="Times New Roman"/>
                <w:b/>
                <w:sz w:val="20"/>
                <w:szCs w:val="20"/>
              </w:rPr>
            </w:pPr>
            <w:r w:rsidRPr="00443934">
              <w:rPr>
                <w:rFonts w:cs="Times New Roman"/>
                <w:b/>
                <w:sz w:val="20"/>
                <w:szCs w:val="20"/>
              </w:rPr>
              <w:t>3 квартал</w:t>
            </w:r>
          </w:p>
        </w:tc>
      </w:tr>
      <w:tr w:rsidR="00443934" w:rsidTr="00085D05">
        <w:tc>
          <w:tcPr>
            <w:tcW w:w="424" w:type="dxa"/>
          </w:tcPr>
          <w:p w:rsidR="00443934" w:rsidRDefault="00443934">
            <w:pPr>
              <w:rPr>
                <w:rFonts w:cs="Times New Roman"/>
                <w:sz w:val="20"/>
                <w:szCs w:val="20"/>
              </w:rPr>
            </w:pPr>
            <w:r>
              <w:rPr>
                <w:rFonts w:cs="Times New Roman"/>
                <w:sz w:val="20"/>
                <w:szCs w:val="20"/>
              </w:rPr>
              <w:t>2.</w:t>
            </w:r>
          </w:p>
        </w:tc>
        <w:tc>
          <w:tcPr>
            <w:tcW w:w="1278" w:type="dxa"/>
          </w:tcPr>
          <w:p w:rsidR="00443934" w:rsidRDefault="009D1A1F">
            <w:pPr>
              <w:rPr>
                <w:rFonts w:cs="Times New Roman"/>
                <w:sz w:val="20"/>
                <w:szCs w:val="20"/>
              </w:rPr>
            </w:pPr>
            <w:r w:rsidRPr="0072180E">
              <w:rPr>
                <w:rFonts w:cs="Times New Roman"/>
                <w:bCs/>
                <w:color w:val="000000"/>
                <w:sz w:val="20"/>
                <w:szCs w:val="20"/>
              </w:rPr>
              <w:t>18.07.2022- 31.08.2022</w:t>
            </w:r>
          </w:p>
        </w:tc>
        <w:tc>
          <w:tcPr>
            <w:tcW w:w="1886" w:type="dxa"/>
          </w:tcPr>
          <w:p w:rsidR="00443934" w:rsidRDefault="009D1A1F">
            <w:pPr>
              <w:rPr>
                <w:rFonts w:cs="Times New Roman"/>
                <w:sz w:val="20"/>
                <w:szCs w:val="20"/>
              </w:rPr>
            </w:pPr>
            <w:r w:rsidRPr="0072180E">
              <w:rPr>
                <w:rFonts w:cs="Times New Roman"/>
                <w:bCs/>
                <w:color w:val="000000"/>
                <w:sz w:val="20"/>
                <w:szCs w:val="20"/>
              </w:rPr>
              <w:t xml:space="preserve">Управление </w:t>
            </w:r>
            <w:proofErr w:type="spellStart"/>
            <w:r>
              <w:rPr>
                <w:rFonts w:cs="Times New Roman"/>
                <w:bCs/>
                <w:color w:val="000000"/>
                <w:sz w:val="20"/>
                <w:szCs w:val="20"/>
              </w:rPr>
              <w:t>Роспотребнадзора</w:t>
            </w:r>
            <w:proofErr w:type="spellEnd"/>
            <w:r>
              <w:rPr>
                <w:rFonts w:cs="Times New Roman"/>
                <w:bCs/>
                <w:color w:val="000000"/>
                <w:sz w:val="20"/>
                <w:szCs w:val="20"/>
              </w:rPr>
              <w:t xml:space="preserve"> </w:t>
            </w:r>
            <w:r w:rsidRPr="0072180E">
              <w:rPr>
                <w:rFonts w:cs="Times New Roman"/>
                <w:bCs/>
                <w:color w:val="000000"/>
                <w:sz w:val="20"/>
                <w:szCs w:val="20"/>
              </w:rPr>
              <w:t xml:space="preserve">по ХМАО-Югре в г. Сургуте и </w:t>
            </w:r>
            <w:proofErr w:type="spellStart"/>
            <w:r w:rsidRPr="0072180E">
              <w:rPr>
                <w:rFonts w:cs="Times New Roman"/>
                <w:bCs/>
                <w:color w:val="000000"/>
                <w:sz w:val="20"/>
                <w:szCs w:val="20"/>
              </w:rPr>
              <w:t>Сургутском</w:t>
            </w:r>
            <w:proofErr w:type="spellEnd"/>
            <w:r w:rsidRPr="0072180E">
              <w:rPr>
                <w:rFonts w:cs="Times New Roman"/>
                <w:bCs/>
                <w:color w:val="000000"/>
                <w:sz w:val="20"/>
                <w:szCs w:val="20"/>
              </w:rPr>
              <w:t xml:space="preserve"> районе</w:t>
            </w:r>
          </w:p>
        </w:tc>
        <w:tc>
          <w:tcPr>
            <w:tcW w:w="2087" w:type="dxa"/>
          </w:tcPr>
          <w:p w:rsidR="00443934" w:rsidRDefault="009D1A1F">
            <w:pPr>
              <w:rPr>
                <w:rFonts w:cs="Times New Roman"/>
                <w:sz w:val="20"/>
                <w:szCs w:val="20"/>
              </w:rPr>
            </w:pPr>
            <w:r w:rsidRPr="0072180E">
              <w:rPr>
                <w:rFonts w:cs="Times New Roman"/>
                <w:bCs/>
                <w:color w:val="000000"/>
                <w:sz w:val="20"/>
                <w:szCs w:val="20"/>
              </w:rPr>
              <w:t>Выездная проверка в рамках федерального государственного санитарно-эпидемиологического надзора</w:t>
            </w:r>
          </w:p>
        </w:tc>
        <w:tc>
          <w:tcPr>
            <w:tcW w:w="1712" w:type="dxa"/>
          </w:tcPr>
          <w:p w:rsidR="00443934" w:rsidRDefault="009D1A1F">
            <w:pPr>
              <w:rPr>
                <w:rFonts w:cs="Times New Roman"/>
                <w:sz w:val="20"/>
                <w:szCs w:val="20"/>
              </w:rPr>
            </w:pPr>
            <w:r w:rsidRPr="0072180E">
              <w:rPr>
                <w:rFonts w:cs="Times New Roman"/>
                <w:bCs/>
                <w:color w:val="000000"/>
                <w:sz w:val="20"/>
                <w:szCs w:val="20"/>
              </w:rPr>
              <w:t>Акт выездной проверки № 649 от 29.07.2022</w:t>
            </w:r>
          </w:p>
        </w:tc>
        <w:tc>
          <w:tcPr>
            <w:tcW w:w="7983" w:type="dxa"/>
          </w:tcPr>
          <w:p w:rsidR="009D1A1F" w:rsidRPr="009D1A1F" w:rsidRDefault="009D1A1F" w:rsidP="0048633A">
            <w:pPr>
              <w:pStyle w:val="a6"/>
              <w:numPr>
                <w:ilvl w:val="0"/>
                <w:numId w:val="1"/>
              </w:numPr>
              <w:ind w:left="284" w:hanging="284"/>
              <w:jc w:val="both"/>
              <w:rPr>
                <w:rFonts w:cs="Times New Roman"/>
                <w:sz w:val="20"/>
                <w:szCs w:val="20"/>
              </w:rPr>
            </w:pPr>
            <w:r w:rsidRPr="009D1A1F">
              <w:rPr>
                <w:rFonts w:cs="Times New Roman"/>
                <w:sz w:val="20"/>
                <w:szCs w:val="20"/>
              </w:rPr>
              <w:t xml:space="preserve">В отделении социальной адаптации 18 спальных </w:t>
            </w:r>
            <w:proofErr w:type="gramStart"/>
            <w:r w:rsidRPr="009D1A1F">
              <w:rPr>
                <w:rFonts w:cs="Times New Roman"/>
                <w:sz w:val="20"/>
                <w:szCs w:val="20"/>
              </w:rPr>
              <w:t>комнат</w:t>
            </w:r>
            <w:proofErr w:type="gramEnd"/>
            <w:r w:rsidRPr="009D1A1F">
              <w:rPr>
                <w:rFonts w:cs="Times New Roman"/>
                <w:sz w:val="20"/>
                <w:szCs w:val="20"/>
              </w:rPr>
              <w:t xml:space="preserve"> в которых организовано проживание по 4 человека в комнате, что не соответствует п.9.10.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r>
              <w:rPr>
                <w:rFonts w:cs="Times New Roman"/>
                <w:sz w:val="20"/>
                <w:szCs w:val="20"/>
              </w:rPr>
              <w:t>.</w:t>
            </w:r>
          </w:p>
          <w:p w:rsidR="009D1A1F" w:rsidRPr="009D1A1F" w:rsidRDefault="009D1A1F" w:rsidP="0048633A">
            <w:pPr>
              <w:pStyle w:val="a6"/>
              <w:numPr>
                <w:ilvl w:val="0"/>
                <w:numId w:val="1"/>
              </w:numPr>
              <w:ind w:left="284" w:hanging="284"/>
              <w:jc w:val="both"/>
              <w:rPr>
                <w:rFonts w:cs="Times New Roman"/>
                <w:sz w:val="20"/>
                <w:szCs w:val="20"/>
              </w:rPr>
            </w:pPr>
            <w:r w:rsidRPr="009D1A1F">
              <w:rPr>
                <w:rFonts w:cs="Times New Roman"/>
                <w:sz w:val="20"/>
                <w:szCs w:val="20"/>
              </w:rPr>
              <w:t xml:space="preserve">В отделении социальной адаптации используются </w:t>
            </w:r>
            <w:proofErr w:type="spellStart"/>
            <w:r w:rsidRPr="009D1A1F">
              <w:rPr>
                <w:rFonts w:cs="Times New Roman"/>
                <w:sz w:val="20"/>
                <w:szCs w:val="20"/>
              </w:rPr>
              <w:t>двухярусные</w:t>
            </w:r>
            <w:proofErr w:type="spellEnd"/>
            <w:r w:rsidRPr="009D1A1F">
              <w:rPr>
                <w:rFonts w:cs="Times New Roman"/>
                <w:sz w:val="20"/>
                <w:szCs w:val="20"/>
              </w:rPr>
              <w:t xml:space="preserve"> кровати, что не соответствует п.9.23.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w:t>
            </w:r>
            <w:r>
              <w:rPr>
                <w:rFonts w:cs="Times New Roman"/>
                <w:sz w:val="20"/>
                <w:szCs w:val="20"/>
              </w:rPr>
              <w:t>ие услуг".</w:t>
            </w:r>
          </w:p>
          <w:p w:rsidR="009D1A1F" w:rsidRPr="009D1A1F" w:rsidRDefault="009D1A1F" w:rsidP="0048633A">
            <w:pPr>
              <w:pStyle w:val="a6"/>
              <w:numPr>
                <w:ilvl w:val="0"/>
                <w:numId w:val="1"/>
              </w:numPr>
              <w:ind w:left="284" w:hanging="284"/>
              <w:jc w:val="both"/>
              <w:rPr>
                <w:rFonts w:cs="Times New Roman"/>
                <w:sz w:val="20"/>
                <w:szCs w:val="20"/>
              </w:rPr>
            </w:pPr>
            <w:r w:rsidRPr="009D1A1F">
              <w:rPr>
                <w:rFonts w:cs="Times New Roman"/>
                <w:sz w:val="20"/>
                <w:szCs w:val="20"/>
              </w:rPr>
              <w:lastRenderedPageBreak/>
              <w:t>В каждом отделении имеется изолятор на 2 койки, что не соответствует п.9.15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w:t>
            </w:r>
            <w:r>
              <w:rPr>
                <w:rFonts w:cs="Times New Roman"/>
                <w:sz w:val="20"/>
                <w:szCs w:val="20"/>
              </w:rPr>
              <w:t>нение работ или оказание услуг".</w:t>
            </w:r>
          </w:p>
          <w:p w:rsidR="009D1A1F" w:rsidRDefault="009D1A1F" w:rsidP="0048633A">
            <w:pPr>
              <w:pStyle w:val="a6"/>
              <w:numPr>
                <w:ilvl w:val="0"/>
                <w:numId w:val="1"/>
              </w:numPr>
              <w:ind w:left="284" w:hanging="284"/>
              <w:jc w:val="both"/>
              <w:rPr>
                <w:rFonts w:cs="Times New Roman"/>
                <w:sz w:val="20"/>
                <w:szCs w:val="20"/>
              </w:rPr>
            </w:pPr>
            <w:r w:rsidRPr="009D1A1F">
              <w:rPr>
                <w:rFonts w:cs="Times New Roman"/>
                <w:sz w:val="20"/>
                <w:szCs w:val="20"/>
              </w:rPr>
              <w:t>Имеется нарушение целостности покрытия потолка в приемном отделении помещения стирки белья ВПК, что не соответствует п.9.21.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w:t>
            </w:r>
            <w:r>
              <w:rPr>
                <w:rFonts w:cs="Times New Roman"/>
                <w:sz w:val="20"/>
                <w:szCs w:val="20"/>
              </w:rPr>
              <w:t>ение работ или оказание услуг".</w:t>
            </w:r>
          </w:p>
          <w:p w:rsidR="009D1A1F" w:rsidRDefault="009D1A1F" w:rsidP="0048633A">
            <w:pPr>
              <w:pStyle w:val="a6"/>
              <w:numPr>
                <w:ilvl w:val="0"/>
                <w:numId w:val="1"/>
              </w:numPr>
              <w:ind w:left="284" w:hanging="284"/>
              <w:jc w:val="both"/>
              <w:rPr>
                <w:rFonts w:cs="Times New Roman"/>
                <w:sz w:val="20"/>
                <w:szCs w:val="20"/>
              </w:rPr>
            </w:pPr>
            <w:r w:rsidRPr="009D1A1F">
              <w:rPr>
                <w:rFonts w:cs="Times New Roman"/>
                <w:sz w:val="20"/>
                <w:szCs w:val="20"/>
              </w:rPr>
              <w:t>Согласно протоколам лабораторных исследования №19228.22, 19230.22 от 26.07.2022 питьевой воды из СЦХВ по санитарно-химическим показателям (точка отбора-кран моечной пищеблока), по содержанию общего железа (1,2+/-0,3 мг/</w:t>
            </w:r>
            <w:proofErr w:type="spellStart"/>
            <w:r w:rsidRPr="009D1A1F">
              <w:rPr>
                <w:rFonts w:cs="Times New Roman"/>
                <w:sz w:val="20"/>
                <w:szCs w:val="20"/>
              </w:rPr>
              <w:t>дмЗ</w:t>
            </w:r>
            <w:proofErr w:type="spellEnd"/>
            <w:r w:rsidRPr="009D1A1F">
              <w:rPr>
                <w:rFonts w:cs="Times New Roman"/>
                <w:sz w:val="20"/>
                <w:szCs w:val="20"/>
              </w:rPr>
              <w:t xml:space="preserve"> при норме не более 0,3 мг/</w:t>
            </w:r>
            <w:proofErr w:type="spellStart"/>
            <w:r w:rsidRPr="009D1A1F">
              <w:rPr>
                <w:rFonts w:cs="Times New Roman"/>
                <w:sz w:val="20"/>
                <w:szCs w:val="20"/>
              </w:rPr>
              <w:t>дмЗ</w:t>
            </w:r>
            <w:proofErr w:type="spellEnd"/>
            <w:r w:rsidRPr="009D1A1F">
              <w:rPr>
                <w:rFonts w:cs="Times New Roman"/>
                <w:sz w:val="20"/>
                <w:szCs w:val="20"/>
              </w:rPr>
              <w:t xml:space="preserve">), и точка отбора-кран </w:t>
            </w:r>
            <w:proofErr w:type="spellStart"/>
            <w:r w:rsidRPr="009D1A1F">
              <w:rPr>
                <w:rFonts w:cs="Times New Roman"/>
                <w:sz w:val="20"/>
                <w:szCs w:val="20"/>
              </w:rPr>
              <w:t>сан</w:t>
            </w:r>
            <w:proofErr w:type="gramStart"/>
            <w:r w:rsidRPr="009D1A1F">
              <w:rPr>
                <w:rFonts w:cs="Times New Roman"/>
                <w:sz w:val="20"/>
                <w:szCs w:val="20"/>
              </w:rPr>
              <w:t>.у</w:t>
            </w:r>
            <w:proofErr w:type="gramEnd"/>
            <w:r w:rsidRPr="009D1A1F">
              <w:rPr>
                <w:rFonts w:cs="Times New Roman"/>
                <w:sz w:val="20"/>
                <w:szCs w:val="20"/>
              </w:rPr>
              <w:t>зел</w:t>
            </w:r>
            <w:proofErr w:type="spellEnd"/>
            <w:r w:rsidRPr="009D1A1F">
              <w:rPr>
                <w:rFonts w:cs="Times New Roman"/>
                <w:sz w:val="20"/>
                <w:szCs w:val="20"/>
              </w:rPr>
              <w:t xml:space="preserve"> по содержанию общего железа (содержание 0,87+/- 0,22 мг/</w:t>
            </w:r>
            <w:proofErr w:type="spellStart"/>
            <w:r w:rsidRPr="009D1A1F">
              <w:rPr>
                <w:rFonts w:cs="Times New Roman"/>
                <w:sz w:val="20"/>
                <w:szCs w:val="20"/>
              </w:rPr>
              <w:t>дмЗ</w:t>
            </w:r>
            <w:proofErr w:type="spellEnd"/>
            <w:r w:rsidRPr="009D1A1F">
              <w:rPr>
                <w:rFonts w:cs="Times New Roman"/>
                <w:sz w:val="20"/>
                <w:szCs w:val="20"/>
              </w:rPr>
              <w:t xml:space="preserve"> при норме не более 0,3 мг/</w:t>
            </w:r>
            <w:proofErr w:type="spellStart"/>
            <w:r w:rsidRPr="009D1A1F">
              <w:rPr>
                <w:rFonts w:cs="Times New Roman"/>
                <w:sz w:val="20"/>
                <w:szCs w:val="20"/>
              </w:rPr>
              <w:t>дмЗ</w:t>
            </w:r>
            <w:proofErr w:type="spellEnd"/>
            <w:r w:rsidRPr="009D1A1F">
              <w:rPr>
                <w:rFonts w:cs="Times New Roman"/>
                <w:sz w:val="20"/>
                <w:szCs w:val="20"/>
              </w:rPr>
              <w:t>) не соответствуют требованиям СанПиН 1.2.3685-21 «Гигиенические нормативы и требования к обеспечению безопасности и (или) безвредности для че</w:t>
            </w:r>
            <w:r>
              <w:rPr>
                <w:rFonts w:cs="Times New Roman"/>
                <w:sz w:val="20"/>
                <w:szCs w:val="20"/>
              </w:rPr>
              <w:t>ловека факторов среды обитания».</w:t>
            </w:r>
          </w:p>
          <w:p w:rsidR="00343400" w:rsidRPr="0048633A" w:rsidRDefault="009D1A1F" w:rsidP="0048633A">
            <w:pPr>
              <w:pStyle w:val="a6"/>
              <w:numPr>
                <w:ilvl w:val="0"/>
                <w:numId w:val="1"/>
              </w:numPr>
              <w:ind w:left="284" w:hanging="284"/>
              <w:jc w:val="both"/>
              <w:rPr>
                <w:rFonts w:cs="Times New Roman"/>
                <w:sz w:val="20"/>
                <w:szCs w:val="20"/>
              </w:rPr>
            </w:pPr>
            <w:r w:rsidRPr="009D1A1F">
              <w:rPr>
                <w:rFonts w:cs="Times New Roman"/>
                <w:sz w:val="20"/>
                <w:szCs w:val="20"/>
              </w:rPr>
              <w:t xml:space="preserve">Уборка помещений, оборудования и </w:t>
            </w:r>
            <w:proofErr w:type="spellStart"/>
            <w:r w:rsidRPr="009D1A1F">
              <w:rPr>
                <w:rFonts w:cs="Times New Roman"/>
                <w:sz w:val="20"/>
                <w:szCs w:val="20"/>
              </w:rPr>
              <w:t>тд</w:t>
            </w:r>
            <w:proofErr w:type="spellEnd"/>
            <w:r w:rsidRPr="009D1A1F">
              <w:rPr>
                <w:rFonts w:cs="Times New Roman"/>
                <w:sz w:val="20"/>
                <w:szCs w:val="20"/>
              </w:rPr>
              <w:t xml:space="preserve"> пищеблока проводится некачественно согласно протоколу лабораторных исследования смывов №19231.22 от 26.07.2022, обнаружены бактерии группы кишечной палочки на полке чистой посуды, что не соответствует п.2.18 СанПиН 2.3/2.4.3590-20 «Санитарно-эпидемиологические требования к организации о</w:t>
            </w:r>
            <w:r w:rsidR="0048633A">
              <w:rPr>
                <w:rFonts w:cs="Times New Roman"/>
                <w:sz w:val="20"/>
                <w:szCs w:val="20"/>
              </w:rPr>
              <w:t>бщественного питания населения»</w:t>
            </w:r>
          </w:p>
        </w:tc>
      </w:tr>
      <w:tr w:rsidR="00443934" w:rsidTr="00085D05">
        <w:tc>
          <w:tcPr>
            <w:tcW w:w="424" w:type="dxa"/>
          </w:tcPr>
          <w:p w:rsidR="00443934" w:rsidRDefault="00443934">
            <w:pPr>
              <w:rPr>
                <w:rFonts w:cs="Times New Roman"/>
                <w:sz w:val="20"/>
                <w:szCs w:val="20"/>
              </w:rPr>
            </w:pPr>
            <w:r>
              <w:rPr>
                <w:rFonts w:cs="Times New Roman"/>
                <w:sz w:val="20"/>
                <w:szCs w:val="20"/>
              </w:rPr>
              <w:lastRenderedPageBreak/>
              <w:t>3.</w:t>
            </w:r>
          </w:p>
        </w:tc>
        <w:tc>
          <w:tcPr>
            <w:tcW w:w="1278" w:type="dxa"/>
          </w:tcPr>
          <w:p w:rsidR="00443934" w:rsidRDefault="009D1A1F">
            <w:pPr>
              <w:rPr>
                <w:rFonts w:cs="Times New Roman"/>
                <w:sz w:val="20"/>
                <w:szCs w:val="20"/>
              </w:rPr>
            </w:pPr>
            <w:r w:rsidRPr="009D1A1F">
              <w:rPr>
                <w:rFonts w:cs="Times New Roman"/>
                <w:sz w:val="20"/>
                <w:szCs w:val="20"/>
              </w:rPr>
              <w:t>18.07.2022-31.08.2022</w:t>
            </w:r>
          </w:p>
        </w:tc>
        <w:tc>
          <w:tcPr>
            <w:tcW w:w="1886" w:type="dxa"/>
          </w:tcPr>
          <w:p w:rsidR="00443934" w:rsidRDefault="009D1A1F">
            <w:pPr>
              <w:rPr>
                <w:rFonts w:cs="Times New Roman"/>
                <w:sz w:val="20"/>
                <w:szCs w:val="20"/>
              </w:rPr>
            </w:pPr>
            <w:r w:rsidRPr="0072180E">
              <w:rPr>
                <w:rFonts w:cs="Times New Roman"/>
                <w:bCs/>
                <w:color w:val="000000"/>
                <w:sz w:val="20"/>
                <w:szCs w:val="20"/>
              </w:rPr>
              <w:t>Департамент по управлению государственным имуществом Ханты-Мансийского автономного округа-Югры</w:t>
            </w:r>
          </w:p>
        </w:tc>
        <w:tc>
          <w:tcPr>
            <w:tcW w:w="2087" w:type="dxa"/>
          </w:tcPr>
          <w:p w:rsidR="00443934" w:rsidRDefault="009D1A1F">
            <w:pPr>
              <w:rPr>
                <w:rFonts w:cs="Times New Roman"/>
                <w:sz w:val="20"/>
                <w:szCs w:val="20"/>
              </w:rPr>
            </w:pPr>
            <w:r w:rsidRPr="009D1A1F">
              <w:rPr>
                <w:rFonts w:cs="Times New Roman"/>
                <w:sz w:val="20"/>
                <w:szCs w:val="20"/>
              </w:rPr>
              <w:t>Распоряжение Департамента по управлению по управлению государственным имуществом Ханты-Мансийского автономного округа-Югры от 06.07.2022 № 13-р-1637 "О плановой выездной проверке деятельности государственных учреждений"</w:t>
            </w:r>
          </w:p>
        </w:tc>
        <w:tc>
          <w:tcPr>
            <w:tcW w:w="1712" w:type="dxa"/>
          </w:tcPr>
          <w:p w:rsidR="00443934" w:rsidRDefault="009D1A1F">
            <w:pPr>
              <w:rPr>
                <w:rFonts w:cs="Times New Roman"/>
                <w:sz w:val="20"/>
                <w:szCs w:val="20"/>
              </w:rPr>
            </w:pPr>
            <w:r w:rsidRPr="009D1A1F">
              <w:rPr>
                <w:rFonts w:cs="Times New Roman"/>
                <w:sz w:val="20"/>
                <w:szCs w:val="20"/>
              </w:rPr>
              <w:t xml:space="preserve">Акт проверки соблюдения бюджетным учреждением Ханты-Мансийского автономного округа </w:t>
            </w:r>
            <w:proofErr w:type="gramStart"/>
            <w:r w:rsidRPr="009D1A1F">
              <w:rPr>
                <w:rFonts w:cs="Times New Roman"/>
                <w:sz w:val="20"/>
                <w:szCs w:val="20"/>
              </w:rPr>
              <w:t>-Ю</w:t>
            </w:r>
            <w:proofErr w:type="gramEnd"/>
            <w:r w:rsidRPr="009D1A1F">
              <w:rPr>
                <w:rFonts w:cs="Times New Roman"/>
                <w:sz w:val="20"/>
                <w:szCs w:val="20"/>
              </w:rPr>
              <w:t xml:space="preserve">гры "Сургутский районный центр социальной адаптации для лиц без определенного места жительства" установленного порядка управления и распоряжения </w:t>
            </w:r>
            <w:r w:rsidRPr="009D1A1F">
              <w:rPr>
                <w:rFonts w:cs="Times New Roman"/>
                <w:sz w:val="20"/>
                <w:szCs w:val="20"/>
              </w:rPr>
              <w:lastRenderedPageBreak/>
              <w:t>государственным имуществом Ханты-Мансийского от 31.08.2022</w:t>
            </w:r>
          </w:p>
        </w:tc>
        <w:tc>
          <w:tcPr>
            <w:tcW w:w="7983" w:type="dxa"/>
          </w:tcPr>
          <w:p w:rsidR="009D1A1F" w:rsidRPr="0048633A" w:rsidRDefault="009D1A1F" w:rsidP="0048633A">
            <w:pPr>
              <w:pStyle w:val="a6"/>
              <w:numPr>
                <w:ilvl w:val="0"/>
                <w:numId w:val="2"/>
              </w:numPr>
              <w:ind w:left="284" w:hanging="284"/>
              <w:jc w:val="both"/>
              <w:rPr>
                <w:rFonts w:cs="Times New Roman"/>
                <w:bCs/>
                <w:color w:val="000000"/>
                <w:sz w:val="20"/>
                <w:szCs w:val="20"/>
              </w:rPr>
            </w:pPr>
            <w:r w:rsidRPr="0048633A">
              <w:rPr>
                <w:rFonts w:cs="Times New Roman"/>
                <w:bCs/>
                <w:color w:val="000000"/>
                <w:sz w:val="20"/>
                <w:szCs w:val="20"/>
              </w:rPr>
              <w:lastRenderedPageBreak/>
              <w:t>Срок договора аренды от 29.11.2019 № 58, заключенного с АНО СПЦ «Шаг вперед», пролонгирован учреждением без согласования Департамента.</w:t>
            </w:r>
          </w:p>
          <w:p w:rsidR="0048633A" w:rsidRPr="0048633A" w:rsidRDefault="009D1A1F" w:rsidP="0048633A">
            <w:pPr>
              <w:pStyle w:val="a6"/>
              <w:numPr>
                <w:ilvl w:val="0"/>
                <w:numId w:val="2"/>
              </w:numPr>
              <w:ind w:left="284" w:hanging="284"/>
              <w:jc w:val="both"/>
              <w:rPr>
                <w:rFonts w:cs="Times New Roman"/>
                <w:bCs/>
                <w:color w:val="000000"/>
                <w:sz w:val="20"/>
                <w:szCs w:val="20"/>
              </w:rPr>
            </w:pPr>
            <w:r w:rsidRPr="0048633A">
              <w:rPr>
                <w:rFonts w:cs="Times New Roman"/>
                <w:bCs/>
                <w:color w:val="000000"/>
                <w:sz w:val="20"/>
                <w:szCs w:val="20"/>
              </w:rPr>
              <w:t xml:space="preserve"> Департаментом ежегодно согласовывается передача имущества в аренду для оказания услуг по физической охране объектов, находящихся у учреждения на праве оперативного управления. </w:t>
            </w:r>
            <w:proofErr w:type="gramStart"/>
            <w:r w:rsidRPr="0048633A">
              <w:rPr>
                <w:rFonts w:cs="Times New Roman"/>
                <w:bCs/>
                <w:color w:val="000000"/>
                <w:sz w:val="20"/>
                <w:szCs w:val="20"/>
              </w:rPr>
              <w:t>Заключение договоров аренды  производится  без проведения торгов на право заключения договоров аренды (пункт10 части 1 статьи 17.1) Федерального закона от 26 июля 2006 года № 135-ФЗ «О защите конкуренции») с лицом, с которым заключен государственный контракт по результатам конкурса или аукциона, проведенных в соответствии с Федеральным законом от 05 апреля 2013 года № 44-ФЗ «О контрактной системе в сфере закупок товаров, работ</w:t>
            </w:r>
            <w:proofErr w:type="gramEnd"/>
            <w:r w:rsidRPr="0048633A">
              <w:rPr>
                <w:rFonts w:cs="Times New Roman"/>
                <w:bCs/>
                <w:color w:val="000000"/>
                <w:sz w:val="20"/>
                <w:szCs w:val="20"/>
              </w:rPr>
              <w:t xml:space="preserve">,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контракта. Срок предоставления указанных прав на такое имущество не может превышать срок исполнение государственного контракта либо договора. По истечении срока действия договора аренды, в котором передача имущества в аренду согласования с </w:t>
            </w:r>
            <w:proofErr w:type="spellStart"/>
            <w:r w:rsidRPr="0048633A">
              <w:rPr>
                <w:rFonts w:cs="Times New Roman"/>
                <w:bCs/>
                <w:color w:val="000000"/>
                <w:sz w:val="20"/>
                <w:szCs w:val="20"/>
              </w:rPr>
              <w:t>Депимуществом</w:t>
            </w:r>
            <w:proofErr w:type="spellEnd"/>
            <w:r w:rsidRPr="0048633A">
              <w:rPr>
                <w:rFonts w:cs="Times New Roman"/>
                <w:bCs/>
                <w:color w:val="000000"/>
                <w:sz w:val="20"/>
                <w:szCs w:val="20"/>
              </w:rPr>
              <w:t xml:space="preserve">, учреждением, до конца календарного года, заключались краткосрочные договоры на оказание услуг по физической охране объектов, а также договоры аренды с охранными организациями без согласования с Департаментом государственного имущества.  </w:t>
            </w:r>
          </w:p>
          <w:p w:rsidR="009D1A1F" w:rsidRPr="0048633A" w:rsidRDefault="009D1A1F" w:rsidP="0048633A">
            <w:pPr>
              <w:pStyle w:val="a6"/>
              <w:numPr>
                <w:ilvl w:val="0"/>
                <w:numId w:val="2"/>
              </w:numPr>
              <w:ind w:left="284" w:hanging="284"/>
              <w:jc w:val="both"/>
              <w:rPr>
                <w:rFonts w:cs="Times New Roman"/>
                <w:bCs/>
                <w:color w:val="000000"/>
                <w:sz w:val="20"/>
                <w:szCs w:val="20"/>
              </w:rPr>
            </w:pPr>
            <w:r w:rsidRPr="0048633A">
              <w:rPr>
                <w:rFonts w:cs="Times New Roman"/>
                <w:bCs/>
                <w:color w:val="000000"/>
                <w:sz w:val="20"/>
                <w:szCs w:val="20"/>
              </w:rPr>
              <w:lastRenderedPageBreak/>
              <w:t>Неисполнение распоряжения Департамента от 25.07.2019 года № 13-Р-1260 «О сносе и списании имущества, находящегося  в оперативном управлении». В части сноса объекта «Склад», кадастровый номер</w:t>
            </w:r>
          </w:p>
          <w:p w:rsidR="0048633A" w:rsidRPr="0048633A" w:rsidRDefault="009D1A1F" w:rsidP="0048633A">
            <w:pPr>
              <w:ind w:left="284" w:hanging="284"/>
              <w:contextualSpacing/>
              <w:jc w:val="both"/>
              <w:rPr>
                <w:rFonts w:cs="Times New Roman"/>
                <w:bCs/>
                <w:color w:val="000000"/>
                <w:sz w:val="20"/>
                <w:szCs w:val="20"/>
              </w:rPr>
            </w:pPr>
            <w:r w:rsidRPr="0048633A">
              <w:rPr>
                <w:rFonts w:cs="Times New Roman"/>
                <w:bCs/>
                <w:color w:val="000000"/>
                <w:sz w:val="20"/>
                <w:szCs w:val="20"/>
              </w:rPr>
              <w:t>86:03:000000:104136.</w:t>
            </w:r>
          </w:p>
          <w:p w:rsidR="00443934" w:rsidRPr="0048633A" w:rsidRDefault="009D1A1F" w:rsidP="0048633A">
            <w:pPr>
              <w:pStyle w:val="a6"/>
              <w:numPr>
                <w:ilvl w:val="0"/>
                <w:numId w:val="2"/>
              </w:numPr>
              <w:ind w:left="284" w:hanging="284"/>
              <w:jc w:val="both"/>
              <w:rPr>
                <w:rFonts w:cs="Times New Roman"/>
                <w:sz w:val="20"/>
                <w:szCs w:val="20"/>
              </w:rPr>
            </w:pPr>
            <w:r w:rsidRPr="0048633A">
              <w:rPr>
                <w:rFonts w:cs="Times New Roman"/>
                <w:bCs/>
                <w:color w:val="000000"/>
                <w:sz w:val="20"/>
                <w:szCs w:val="20"/>
              </w:rPr>
              <w:t>Нарушение пункта 12 Порядок учета государственного имущества Ханты-Мансийского автономного округа – Югры, утвержденного постановлением Правительства Ханты-Мансийского автономного округа – Югры от 06. апреля 2011 года № 115-п в части не предоставления сведении обременений объектов учета (в электронной форме).</w:t>
            </w:r>
          </w:p>
          <w:p w:rsidR="0048633A" w:rsidRPr="0048633A" w:rsidRDefault="0048633A" w:rsidP="0048633A">
            <w:pPr>
              <w:pStyle w:val="a6"/>
              <w:numPr>
                <w:ilvl w:val="0"/>
                <w:numId w:val="2"/>
              </w:numPr>
              <w:ind w:left="284" w:hanging="284"/>
              <w:jc w:val="both"/>
              <w:rPr>
                <w:rFonts w:cs="Times New Roman"/>
                <w:sz w:val="20"/>
                <w:szCs w:val="20"/>
              </w:rPr>
            </w:pPr>
            <w:r w:rsidRPr="0048633A">
              <w:rPr>
                <w:rFonts w:eastAsia="Times New Roman" w:cs="Times New Roman"/>
                <w:sz w:val="20"/>
                <w:szCs w:val="20"/>
                <w:lang w:eastAsia="ru-RU"/>
              </w:rPr>
              <w:t>Отсутствует государственная регистрация права оперативного управления на 23 объекта, используемые учреждением.</w:t>
            </w:r>
          </w:p>
          <w:p w:rsidR="0048633A" w:rsidRPr="0048633A" w:rsidRDefault="0048633A" w:rsidP="0048633A">
            <w:pPr>
              <w:pStyle w:val="a6"/>
              <w:numPr>
                <w:ilvl w:val="0"/>
                <w:numId w:val="2"/>
              </w:numPr>
              <w:ind w:left="284" w:hanging="284"/>
              <w:jc w:val="both"/>
              <w:rPr>
                <w:rFonts w:cs="Times New Roman"/>
                <w:sz w:val="20"/>
                <w:szCs w:val="20"/>
              </w:rPr>
            </w:pPr>
            <w:r w:rsidRPr="0048633A">
              <w:rPr>
                <w:rFonts w:cs="Times New Roman"/>
                <w:sz w:val="20"/>
                <w:szCs w:val="20"/>
              </w:rPr>
              <w:t>Учреждению в срок до 01.02.2023 обеспечить проведение кадастровых работ по объектам, указанным в строках 18-23 приложения 6 к акту проверки, с целью получения заключения кадастрового инженера о принадлежност</w:t>
            </w:r>
            <w:proofErr w:type="gramStart"/>
            <w:r w:rsidRPr="0048633A">
              <w:rPr>
                <w:rFonts w:cs="Times New Roman"/>
                <w:sz w:val="20"/>
                <w:szCs w:val="20"/>
              </w:rPr>
              <w:t>и(</w:t>
            </w:r>
            <w:proofErr w:type="gramEnd"/>
            <w:r w:rsidRPr="0048633A">
              <w:rPr>
                <w:rFonts w:cs="Times New Roman"/>
                <w:sz w:val="20"/>
                <w:szCs w:val="20"/>
              </w:rPr>
              <w:t>непринадлежности) к объектам капитального строительства.</w:t>
            </w:r>
          </w:p>
          <w:p w:rsidR="0048633A" w:rsidRPr="0048633A" w:rsidRDefault="0048633A" w:rsidP="0048633A">
            <w:pPr>
              <w:pStyle w:val="a6"/>
              <w:numPr>
                <w:ilvl w:val="0"/>
                <w:numId w:val="2"/>
              </w:numPr>
              <w:ind w:left="284" w:hanging="284"/>
              <w:jc w:val="both"/>
              <w:rPr>
                <w:rFonts w:cs="Times New Roman"/>
                <w:sz w:val="20"/>
                <w:szCs w:val="20"/>
              </w:rPr>
            </w:pPr>
            <w:r w:rsidRPr="0048633A">
              <w:rPr>
                <w:rFonts w:cs="Times New Roman"/>
                <w:sz w:val="20"/>
                <w:szCs w:val="20"/>
              </w:rPr>
              <w:t>В срок до 1 ноября 2022 года осуществить необходимые мероприятия по регистрации права оперативного управления на объекты, указанные в строках 1- 17 приложение 6 к акту проверки.</w:t>
            </w:r>
          </w:p>
        </w:tc>
      </w:tr>
      <w:tr w:rsidR="00085D05" w:rsidTr="0019563D">
        <w:tc>
          <w:tcPr>
            <w:tcW w:w="15370" w:type="dxa"/>
            <w:gridSpan w:val="6"/>
          </w:tcPr>
          <w:p w:rsidR="00085D05" w:rsidRPr="00085D05" w:rsidRDefault="00085D05" w:rsidP="00085D05">
            <w:pPr>
              <w:pStyle w:val="a6"/>
              <w:ind w:left="284"/>
              <w:jc w:val="center"/>
              <w:rPr>
                <w:rFonts w:cs="Times New Roman"/>
                <w:b/>
                <w:bCs/>
                <w:color w:val="000000"/>
                <w:sz w:val="20"/>
                <w:szCs w:val="20"/>
              </w:rPr>
            </w:pPr>
            <w:r w:rsidRPr="00085D05">
              <w:rPr>
                <w:rFonts w:cs="Times New Roman"/>
                <w:b/>
                <w:bCs/>
                <w:color w:val="000000"/>
                <w:sz w:val="20"/>
                <w:szCs w:val="20"/>
              </w:rPr>
              <w:lastRenderedPageBreak/>
              <w:t>4 квартал</w:t>
            </w:r>
          </w:p>
        </w:tc>
      </w:tr>
      <w:tr w:rsidR="00085D05" w:rsidTr="00085D05">
        <w:tc>
          <w:tcPr>
            <w:tcW w:w="424" w:type="dxa"/>
          </w:tcPr>
          <w:p w:rsidR="00085D05" w:rsidRDefault="00085D05">
            <w:pPr>
              <w:rPr>
                <w:rFonts w:cs="Times New Roman"/>
                <w:sz w:val="20"/>
                <w:szCs w:val="20"/>
              </w:rPr>
            </w:pPr>
            <w:r>
              <w:rPr>
                <w:rFonts w:cs="Times New Roman"/>
                <w:sz w:val="20"/>
                <w:szCs w:val="20"/>
              </w:rPr>
              <w:t>-</w:t>
            </w:r>
          </w:p>
        </w:tc>
        <w:tc>
          <w:tcPr>
            <w:tcW w:w="1278" w:type="dxa"/>
          </w:tcPr>
          <w:p w:rsidR="00085D05" w:rsidRPr="009D1A1F" w:rsidRDefault="00085D05">
            <w:pPr>
              <w:rPr>
                <w:rFonts w:cs="Times New Roman"/>
                <w:sz w:val="20"/>
                <w:szCs w:val="20"/>
              </w:rPr>
            </w:pPr>
            <w:r>
              <w:rPr>
                <w:rFonts w:cs="Times New Roman"/>
                <w:sz w:val="20"/>
                <w:szCs w:val="20"/>
              </w:rPr>
              <w:t>-</w:t>
            </w:r>
          </w:p>
        </w:tc>
        <w:tc>
          <w:tcPr>
            <w:tcW w:w="1886" w:type="dxa"/>
          </w:tcPr>
          <w:p w:rsidR="00085D05" w:rsidRPr="0072180E" w:rsidRDefault="00085D05">
            <w:pPr>
              <w:rPr>
                <w:rFonts w:cs="Times New Roman"/>
                <w:bCs/>
                <w:color w:val="000000"/>
                <w:sz w:val="20"/>
                <w:szCs w:val="20"/>
              </w:rPr>
            </w:pPr>
            <w:r>
              <w:rPr>
                <w:rFonts w:cs="Times New Roman"/>
                <w:bCs/>
                <w:color w:val="000000"/>
                <w:sz w:val="20"/>
                <w:szCs w:val="20"/>
              </w:rPr>
              <w:t>-</w:t>
            </w:r>
          </w:p>
        </w:tc>
        <w:tc>
          <w:tcPr>
            <w:tcW w:w="2087" w:type="dxa"/>
          </w:tcPr>
          <w:p w:rsidR="00085D05" w:rsidRPr="009D1A1F" w:rsidRDefault="00085D05">
            <w:pPr>
              <w:rPr>
                <w:rFonts w:cs="Times New Roman"/>
                <w:sz w:val="20"/>
                <w:szCs w:val="20"/>
              </w:rPr>
            </w:pPr>
            <w:r>
              <w:rPr>
                <w:rFonts w:cs="Times New Roman"/>
                <w:sz w:val="20"/>
                <w:szCs w:val="20"/>
              </w:rPr>
              <w:t>-</w:t>
            </w:r>
          </w:p>
        </w:tc>
        <w:tc>
          <w:tcPr>
            <w:tcW w:w="1712" w:type="dxa"/>
          </w:tcPr>
          <w:p w:rsidR="00085D05" w:rsidRPr="009D1A1F" w:rsidRDefault="00085D05">
            <w:pPr>
              <w:rPr>
                <w:rFonts w:cs="Times New Roman"/>
                <w:sz w:val="20"/>
                <w:szCs w:val="20"/>
              </w:rPr>
            </w:pPr>
            <w:r>
              <w:rPr>
                <w:rFonts w:cs="Times New Roman"/>
                <w:sz w:val="20"/>
                <w:szCs w:val="20"/>
              </w:rPr>
              <w:t>-</w:t>
            </w:r>
          </w:p>
        </w:tc>
        <w:tc>
          <w:tcPr>
            <w:tcW w:w="7983" w:type="dxa"/>
          </w:tcPr>
          <w:p w:rsidR="00085D05" w:rsidRPr="0048633A" w:rsidRDefault="00085D05" w:rsidP="00085D05">
            <w:pPr>
              <w:pStyle w:val="a6"/>
              <w:ind w:left="284"/>
              <w:jc w:val="both"/>
              <w:rPr>
                <w:rFonts w:cs="Times New Roman"/>
                <w:bCs/>
                <w:color w:val="000000"/>
                <w:sz w:val="20"/>
                <w:szCs w:val="20"/>
              </w:rPr>
            </w:pPr>
            <w:r>
              <w:rPr>
                <w:rFonts w:cs="Times New Roman"/>
                <w:bCs/>
                <w:color w:val="000000"/>
                <w:sz w:val="20"/>
                <w:szCs w:val="20"/>
              </w:rPr>
              <w:t>-</w:t>
            </w:r>
            <w:bookmarkStart w:id="0" w:name="_GoBack"/>
            <w:bookmarkEnd w:id="0"/>
          </w:p>
        </w:tc>
      </w:tr>
    </w:tbl>
    <w:p w:rsidR="008D14DC" w:rsidRDefault="008D14DC"/>
    <w:sectPr w:rsidR="008D14DC" w:rsidSect="009D1A1F">
      <w:pgSz w:w="16838" w:h="11906" w:orient="landscape"/>
      <w:pgMar w:top="567"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6714B"/>
    <w:multiLevelType w:val="hybridMultilevel"/>
    <w:tmpl w:val="62B89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B9660E0"/>
    <w:multiLevelType w:val="hybridMultilevel"/>
    <w:tmpl w:val="B346F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6D5"/>
    <w:rsid w:val="00085D05"/>
    <w:rsid w:val="00262809"/>
    <w:rsid w:val="00343400"/>
    <w:rsid w:val="00443934"/>
    <w:rsid w:val="0048633A"/>
    <w:rsid w:val="00510BBB"/>
    <w:rsid w:val="008D14DC"/>
    <w:rsid w:val="009D1A1F"/>
    <w:rsid w:val="009E50E5"/>
    <w:rsid w:val="00AC3E8F"/>
    <w:rsid w:val="00B27254"/>
    <w:rsid w:val="00B3698D"/>
    <w:rsid w:val="00BE3645"/>
    <w:rsid w:val="00DD16D5"/>
    <w:rsid w:val="00E120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14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C3E8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C3E8F"/>
    <w:rPr>
      <w:rFonts w:ascii="Segoe UI" w:hAnsi="Segoe UI" w:cs="Segoe UI"/>
      <w:sz w:val="18"/>
      <w:szCs w:val="18"/>
    </w:rPr>
  </w:style>
  <w:style w:type="paragraph" w:styleId="a6">
    <w:name w:val="List Paragraph"/>
    <w:basedOn w:val="a"/>
    <w:uiPriority w:val="34"/>
    <w:qFormat/>
    <w:rsid w:val="009D1A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14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C3E8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C3E8F"/>
    <w:rPr>
      <w:rFonts w:ascii="Segoe UI" w:hAnsi="Segoe UI" w:cs="Segoe UI"/>
      <w:sz w:val="18"/>
      <w:szCs w:val="18"/>
    </w:rPr>
  </w:style>
  <w:style w:type="paragraph" w:styleId="a6">
    <w:name w:val="List Paragraph"/>
    <w:basedOn w:val="a"/>
    <w:uiPriority w:val="34"/>
    <w:qFormat/>
    <w:rsid w:val="009D1A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0618">
      <w:bodyDiv w:val="1"/>
      <w:marLeft w:val="0"/>
      <w:marRight w:val="0"/>
      <w:marTop w:val="0"/>
      <w:marBottom w:val="0"/>
      <w:divBdr>
        <w:top w:val="none" w:sz="0" w:space="0" w:color="auto"/>
        <w:left w:val="none" w:sz="0" w:space="0" w:color="auto"/>
        <w:bottom w:val="none" w:sz="0" w:space="0" w:color="auto"/>
        <w:right w:val="none" w:sz="0" w:space="0" w:color="auto"/>
      </w:divBdr>
    </w:div>
    <w:div w:id="89854386">
      <w:bodyDiv w:val="1"/>
      <w:marLeft w:val="0"/>
      <w:marRight w:val="0"/>
      <w:marTop w:val="0"/>
      <w:marBottom w:val="0"/>
      <w:divBdr>
        <w:top w:val="none" w:sz="0" w:space="0" w:color="auto"/>
        <w:left w:val="none" w:sz="0" w:space="0" w:color="auto"/>
        <w:bottom w:val="none" w:sz="0" w:space="0" w:color="auto"/>
        <w:right w:val="none" w:sz="0" w:space="0" w:color="auto"/>
      </w:divBdr>
    </w:div>
    <w:div w:id="176386041">
      <w:bodyDiv w:val="1"/>
      <w:marLeft w:val="0"/>
      <w:marRight w:val="0"/>
      <w:marTop w:val="0"/>
      <w:marBottom w:val="0"/>
      <w:divBdr>
        <w:top w:val="none" w:sz="0" w:space="0" w:color="auto"/>
        <w:left w:val="none" w:sz="0" w:space="0" w:color="auto"/>
        <w:bottom w:val="none" w:sz="0" w:space="0" w:color="auto"/>
        <w:right w:val="none" w:sz="0" w:space="0" w:color="auto"/>
      </w:divBdr>
    </w:div>
    <w:div w:id="681471457">
      <w:bodyDiv w:val="1"/>
      <w:marLeft w:val="0"/>
      <w:marRight w:val="0"/>
      <w:marTop w:val="0"/>
      <w:marBottom w:val="0"/>
      <w:divBdr>
        <w:top w:val="none" w:sz="0" w:space="0" w:color="auto"/>
        <w:left w:val="none" w:sz="0" w:space="0" w:color="auto"/>
        <w:bottom w:val="none" w:sz="0" w:space="0" w:color="auto"/>
        <w:right w:val="none" w:sz="0" w:space="0" w:color="auto"/>
      </w:divBdr>
    </w:div>
    <w:div w:id="861167948">
      <w:bodyDiv w:val="1"/>
      <w:marLeft w:val="0"/>
      <w:marRight w:val="0"/>
      <w:marTop w:val="0"/>
      <w:marBottom w:val="0"/>
      <w:divBdr>
        <w:top w:val="none" w:sz="0" w:space="0" w:color="auto"/>
        <w:left w:val="none" w:sz="0" w:space="0" w:color="auto"/>
        <w:bottom w:val="none" w:sz="0" w:space="0" w:color="auto"/>
        <w:right w:val="none" w:sz="0" w:space="0" w:color="auto"/>
      </w:divBdr>
    </w:div>
    <w:div w:id="918368266">
      <w:bodyDiv w:val="1"/>
      <w:marLeft w:val="0"/>
      <w:marRight w:val="0"/>
      <w:marTop w:val="0"/>
      <w:marBottom w:val="0"/>
      <w:divBdr>
        <w:top w:val="none" w:sz="0" w:space="0" w:color="auto"/>
        <w:left w:val="none" w:sz="0" w:space="0" w:color="auto"/>
        <w:bottom w:val="none" w:sz="0" w:space="0" w:color="auto"/>
        <w:right w:val="none" w:sz="0" w:space="0" w:color="auto"/>
      </w:divBdr>
    </w:div>
    <w:div w:id="967593121">
      <w:bodyDiv w:val="1"/>
      <w:marLeft w:val="0"/>
      <w:marRight w:val="0"/>
      <w:marTop w:val="0"/>
      <w:marBottom w:val="0"/>
      <w:divBdr>
        <w:top w:val="none" w:sz="0" w:space="0" w:color="auto"/>
        <w:left w:val="none" w:sz="0" w:space="0" w:color="auto"/>
        <w:bottom w:val="none" w:sz="0" w:space="0" w:color="auto"/>
        <w:right w:val="none" w:sz="0" w:space="0" w:color="auto"/>
      </w:divBdr>
    </w:div>
    <w:div w:id="1165708095">
      <w:bodyDiv w:val="1"/>
      <w:marLeft w:val="0"/>
      <w:marRight w:val="0"/>
      <w:marTop w:val="0"/>
      <w:marBottom w:val="0"/>
      <w:divBdr>
        <w:top w:val="none" w:sz="0" w:space="0" w:color="auto"/>
        <w:left w:val="none" w:sz="0" w:space="0" w:color="auto"/>
        <w:bottom w:val="none" w:sz="0" w:space="0" w:color="auto"/>
        <w:right w:val="none" w:sz="0" w:space="0" w:color="auto"/>
      </w:divBdr>
    </w:div>
    <w:div w:id="1242181438">
      <w:bodyDiv w:val="1"/>
      <w:marLeft w:val="0"/>
      <w:marRight w:val="0"/>
      <w:marTop w:val="0"/>
      <w:marBottom w:val="0"/>
      <w:divBdr>
        <w:top w:val="none" w:sz="0" w:space="0" w:color="auto"/>
        <w:left w:val="none" w:sz="0" w:space="0" w:color="auto"/>
        <w:bottom w:val="none" w:sz="0" w:space="0" w:color="auto"/>
        <w:right w:val="none" w:sz="0" w:space="0" w:color="auto"/>
      </w:divBdr>
    </w:div>
    <w:div w:id="1245919960">
      <w:bodyDiv w:val="1"/>
      <w:marLeft w:val="0"/>
      <w:marRight w:val="0"/>
      <w:marTop w:val="0"/>
      <w:marBottom w:val="0"/>
      <w:divBdr>
        <w:top w:val="none" w:sz="0" w:space="0" w:color="auto"/>
        <w:left w:val="none" w:sz="0" w:space="0" w:color="auto"/>
        <w:bottom w:val="none" w:sz="0" w:space="0" w:color="auto"/>
        <w:right w:val="none" w:sz="0" w:space="0" w:color="auto"/>
      </w:divBdr>
    </w:div>
    <w:div w:id="1643074646">
      <w:bodyDiv w:val="1"/>
      <w:marLeft w:val="0"/>
      <w:marRight w:val="0"/>
      <w:marTop w:val="0"/>
      <w:marBottom w:val="0"/>
      <w:divBdr>
        <w:top w:val="none" w:sz="0" w:space="0" w:color="auto"/>
        <w:left w:val="none" w:sz="0" w:space="0" w:color="auto"/>
        <w:bottom w:val="none" w:sz="0" w:space="0" w:color="auto"/>
        <w:right w:val="none" w:sz="0" w:space="0" w:color="auto"/>
      </w:divBdr>
    </w:div>
    <w:div w:id="1749379646">
      <w:bodyDiv w:val="1"/>
      <w:marLeft w:val="0"/>
      <w:marRight w:val="0"/>
      <w:marTop w:val="0"/>
      <w:marBottom w:val="0"/>
      <w:divBdr>
        <w:top w:val="none" w:sz="0" w:space="0" w:color="auto"/>
        <w:left w:val="none" w:sz="0" w:space="0" w:color="auto"/>
        <w:bottom w:val="none" w:sz="0" w:space="0" w:color="auto"/>
        <w:right w:val="none" w:sz="0" w:space="0" w:color="auto"/>
      </w:divBdr>
    </w:div>
    <w:div w:id="1892837871">
      <w:bodyDiv w:val="1"/>
      <w:marLeft w:val="0"/>
      <w:marRight w:val="0"/>
      <w:marTop w:val="0"/>
      <w:marBottom w:val="0"/>
      <w:divBdr>
        <w:top w:val="none" w:sz="0" w:space="0" w:color="auto"/>
        <w:left w:val="none" w:sz="0" w:space="0" w:color="auto"/>
        <w:bottom w:val="none" w:sz="0" w:space="0" w:color="auto"/>
        <w:right w:val="none" w:sz="0" w:space="0" w:color="auto"/>
      </w:divBdr>
    </w:div>
    <w:div w:id="202049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1002</Words>
  <Characters>5716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Metodist</dc:creator>
  <cp:lastModifiedBy>ASRock</cp:lastModifiedBy>
  <cp:revision>10</cp:revision>
  <cp:lastPrinted>2022-09-30T05:43:00Z</cp:lastPrinted>
  <dcterms:created xsi:type="dcterms:W3CDTF">2022-02-21T05:49:00Z</dcterms:created>
  <dcterms:modified xsi:type="dcterms:W3CDTF">2023-03-03T04:50:00Z</dcterms:modified>
</cp:coreProperties>
</file>