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ПРАВИТЕЛЬСТВО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b/>
          <w:bCs/>
          <w:kern w:val="0"/>
          <w:sz w:val="36"/>
          <w:szCs w:val="36"/>
        </w:rPr>
      </w:pPr>
      <w:r>
        <w:rPr>
          <w:rFonts w:ascii="Times New Roman" w:hAnsi="Times New Roman" w:cs="Times New Roman"/>
          <w:b/>
          <w:bCs/>
          <w:kern w:val="0"/>
          <w:sz w:val="36"/>
          <w:szCs w:val="36"/>
        </w:rPr>
        <w:t>ПОСТАНОВЛЕНИЕ</w:t>
      </w: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от 1 декабря 2014 г. N 1285</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 РАСЧЕТЕ ПОДУШЕВЫХ НОРМАТИВОВ ФИНАНСИРОВАНИЯ СОЦИАЛЬНЫХ УСЛУГ</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(в ред. Постановления Правительства РФ </w:t>
      </w:r>
      <w:hyperlink r:id="rId4" w:history="1">
        <w:r>
          <w:rPr>
            <w:rFonts w:ascii="Times New Roman" w:hAnsi="Times New Roman" w:cs="Times New Roman"/>
            <w:kern w:val="0"/>
            <w:sz w:val="24"/>
            <w:szCs w:val="24"/>
            <w:u w:val="single"/>
          </w:rPr>
          <w:t>от 09.12.2020 N 2052</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соответствии с </w:t>
      </w:r>
      <w:hyperlink r:id="rId5" w:history="1">
        <w:r>
          <w:rPr>
            <w:rFonts w:ascii="Times New Roman" w:hAnsi="Times New Roman" w:cs="Times New Roman"/>
            <w:kern w:val="0"/>
            <w:sz w:val="24"/>
            <w:szCs w:val="24"/>
            <w:u w:val="single"/>
          </w:rPr>
          <w:t>пунктом 2</w:t>
        </w:r>
      </w:hyperlink>
      <w:r>
        <w:rPr>
          <w:rFonts w:ascii="Times New Roman" w:hAnsi="Times New Roman" w:cs="Times New Roman"/>
          <w:kern w:val="0"/>
          <w:sz w:val="24"/>
          <w:szCs w:val="24"/>
        </w:rPr>
        <w:t xml:space="preserve"> части 1 статьи 7 Федерального закона "Об основах социального обслуживания граждан в Российской Федерации" Правительство Российской Федерации постановляет: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Утвердить прилагаемые методические рекомендации по расчету подушевых нормативов финансирования социальных услуг.</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Установить,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субъекта Российской Федерации, а также для определения размера компенсации, выплачиваемой поставщикам социальных услуг, указанным в </w:t>
      </w:r>
      <w:hyperlink r:id="rId6" w:history="1">
        <w:r>
          <w:rPr>
            <w:rFonts w:ascii="Times New Roman" w:hAnsi="Times New Roman" w:cs="Times New Roman"/>
            <w:kern w:val="0"/>
            <w:sz w:val="24"/>
            <w:szCs w:val="24"/>
            <w:u w:val="single"/>
          </w:rPr>
          <w:t>части 8</w:t>
        </w:r>
      </w:hyperlink>
      <w:r>
        <w:rPr>
          <w:rFonts w:ascii="Times New Roman" w:hAnsi="Times New Roman" w:cs="Times New Roman"/>
          <w:kern w:val="0"/>
          <w:sz w:val="24"/>
          <w:szCs w:val="24"/>
        </w:rPr>
        <w:t xml:space="preserve"> статьи 30 Федерального закона "Об основах социального обслуживания граждан 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Установить, что подушевые нормативы финансирования социальных услуг могут использоваться органом государственной власти субъекта Российской Федерации, включенного в </w:t>
      </w:r>
      <w:hyperlink r:id="rId7" w:history="1">
        <w:r>
          <w:rPr>
            <w:rFonts w:ascii="Times New Roman" w:hAnsi="Times New Roman" w:cs="Times New Roman"/>
            <w:kern w:val="0"/>
            <w:sz w:val="24"/>
            <w:szCs w:val="24"/>
            <w:u w:val="single"/>
          </w:rPr>
          <w:t>перечень</w:t>
        </w:r>
      </w:hyperlink>
      <w:r>
        <w:rPr>
          <w:rFonts w:ascii="Times New Roman" w:hAnsi="Times New Roman" w:cs="Times New Roman"/>
          <w:kern w:val="0"/>
          <w:sz w:val="24"/>
          <w:szCs w:val="24"/>
        </w:rPr>
        <w:t xml:space="preserve"> субъектов Российской Федерации, в которых вступает в силу Федеральный закон "О государственном (муниципальном) социальном заказе на оказание государственных (муниципальных) услуг в социальной сфере", утвержденный распоряжением Правительства Российской Федерации от 7 октября 2020 г. N 2579-р, для определения объема финансового обеспечения государственного (муниципального) социального заказа в случае принятия решения об организации оказания государственных (муниципальных) услуг в социальной сфере в соответствии с </w:t>
      </w:r>
      <w:hyperlink r:id="rId8" w:history="1">
        <w:r>
          <w:rPr>
            <w:rFonts w:ascii="Times New Roman" w:hAnsi="Times New Roman" w:cs="Times New Roman"/>
            <w:kern w:val="0"/>
            <w:sz w:val="24"/>
            <w:szCs w:val="24"/>
            <w:u w:val="single"/>
          </w:rPr>
          <w:t>частью 3</w:t>
        </w:r>
      </w:hyperlink>
      <w:r>
        <w:rPr>
          <w:rFonts w:ascii="Times New Roman" w:hAnsi="Times New Roman" w:cs="Times New Roman"/>
          <w:kern w:val="0"/>
          <w:sz w:val="24"/>
          <w:szCs w:val="24"/>
        </w:rPr>
        <w:t xml:space="preserve"> статьи 28 Федерального закона "О государственном (муниципальном) социальном заказе на оказание государственных (муниципальных) услуг в социальной сфере. (в ред. Постановления Правительства РФ </w:t>
      </w:r>
      <w:hyperlink r:id="rId9" w:history="1">
        <w:r>
          <w:rPr>
            <w:rFonts w:ascii="Times New Roman" w:hAnsi="Times New Roman" w:cs="Times New Roman"/>
            <w:kern w:val="0"/>
            <w:sz w:val="24"/>
            <w:szCs w:val="24"/>
            <w:u w:val="single"/>
          </w:rPr>
          <w:t>от 09.12.2020 N 2052</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Пункт 2.1 (в редакции Постановления Правительства РФ от 09.12.2020 N 2052) действует до 01.01.2025 (</w:t>
      </w:r>
      <w:hyperlink r:id="rId10" w:history="1">
        <w:r>
          <w:rPr>
            <w:rFonts w:ascii="Times New Roman" w:hAnsi="Times New Roman" w:cs="Times New Roman"/>
            <w:b/>
            <w:bCs/>
            <w:i/>
            <w:iCs/>
            <w:kern w:val="0"/>
            <w:sz w:val="24"/>
            <w:szCs w:val="24"/>
            <w:u w:val="single"/>
          </w:rPr>
          <w:t>пункт 3</w:t>
        </w:r>
      </w:hyperlink>
      <w:r>
        <w:rPr>
          <w:rFonts w:ascii="Times New Roman" w:hAnsi="Times New Roman" w:cs="Times New Roman"/>
          <w:b/>
          <w:bCs/>
          <w:i/>
          <w:iCs/>
          <w:kern w:val="0"/>
          <w:sz w:val="24"/>
          <w:szCs w:val="24"/>
        </w:rPr>
        <w:t xml:space="preserve"> Постановления Правительства РФ от 09.12.2020 N 2052).</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w:t>
      </w:r>
      <w:r>
        <w:rPr>
          <w:rFonts w:ascii="Times New Roman" w:hAnsi="Times New Roman" w:cs="Times New Roman"/>
          <w:kern w:val="0"/>
          <w:sz w:val="24"/>
          <w:szCs w:val="24"/>
        </w:rPr>
        <w:lastRenderedPageBreak/>
        <w:t>методических рекомендаций, утвержденных настоящим постановлением.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Настоящее постановление вступает в силу с 1 января 2015 г.</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Председатель Правительства</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Российской Федерации</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Д.МЕДВЕДЕВ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УТВЕРЖДЕНЫ</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постановлением Правительства</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Российской Федерации</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от 1 декабря 2014 г. N 1285</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МЕТОДИЧЕСКИЕ РЕКОМЕНДАЦИИ ПО РАСЧЕТУ ПОДУШЕВЫХ НОРМАТИВОВ ФИНАНСИРОВАНИЯ СОЦИАЛЬНЫХ УСЛУГ</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(в ред. Постановления Правительства РФ </w:t>
      </w:r>
      <w:hyperlink r:id="rId11" w:history="1">
        <w:r>
          <w:rPr>
            <w:rFonts w:ascii="Times New Roman" w:hAnsi="Times New Roman" w:cs="Times New Roman"/>
            <w:kern w:val="0"/>
            <w:sz w:val="24"/>
            <w:szCs w:val="24"/>
            <w:u w:val="single"/>
          </w:rPr>
          <w:t>от 09.12.2020 N 2052</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Настоящий документ разработан в целях содействия субъектам Российской Федерации в определении методологического подхода к установлению подушевых нормативов финансирования социальных услуг (далее - подушевые нормативы финансирования).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Подушевые нормативы финансирования устанавливаются в расчете на одного получателя социальных услуг, включенных в перечень социальных услуг, предоставляемых поставщиками социальных услуг, утвержденный законом субъекта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Установить, что подушевые нормативы финансирования могут использоваться органом государственной власти субъекта Российской Федерации, включенного в </w:t>
      </w:r>
      <w:hyperlink r:id="rId12" w:history="1">
        <w:r>
          <w:rPr>
            <w:rFonts w:ascii="Times New Roman" w:hAnsi="Times New Roman" w:cs="Times New Roman"/>
            <w:kern w:val="0"/>
            <w:sz w:val="24"/>
            <w:szCs w:val="24"/>
            <w:u w:val="single"/>
          </w:rPr>
          <w:t>перечень</w:t>
        </w:r>
      </w:hyperlink>
      <w:r>
        <w:rPr>
          <w:rFonts w:ascii="Times New Roman" w:hAnsi="Times New Roman" w:cs="Times New Roman"/>
          <w:kern w:val="0"/>
          <w:sz w:val="24"/>
          <w:szCs w:val="24"/>
        </w:rPr>
        <w:t xml:space="preserve"> субъектов Российской Федерации, в которых вступает в силу Федеральный закон "О государственном (муниципальном) социальном заказе на оказание государственных (муниципальных) услуг в социальной сфере", утвержденный распоряжением Правительства Российской Федерации от 7 октября 2020 г. N 2579-р, для определения финансового обеспечения (возмещения) затрат, связанных с оказанием отдельных государственных (муниципальных) услуг, состоящих из одной или нескольких социальных услуг, право на получение которых потребителем государственных (муниципальных) услуг удостоверено социальным сертификатом, указанным в </w:t>
      </w:r>
      <w:hyperlink r:id="rId13" w:history="1">
        <w:r>
          <w:rPr>
            <w:rFonts w:ascii="Times New Roman" w:hAnsi="Times New Roman" w:cs="Times New Roman"/>
            <w:kern w:val="0"/>
            <w:sz w:val="24"/>
            <w:szCs w:val="24"/>
            <w:u w:val="single"/>
          </w:rPr>
          <w:t>пункте 7</w:t>
        </w:r>
      </w:hyperlink>
      <w:r>
        <w:rPr>
          <w:rFonts w:ascii="Times New Roman" w:hAnsi="Times New Roman" w:cs="Times New Roman"/>
          <w:kern w:val="0"/>
          <w:sz w:val="24"/>
          <w:szCs w:val="24"/>
        </w:rPr>
        <w:t xml:space="preserve"> статьи 2 Федерального закона "О государственном (муниципальном) социальном заказе на оказание государственных (муниципальных) услуг в социальной сфере", в случае принятия решения об организации оказания государственных (муниципальных) услуг в социальной сфере в соответствии с </w:t>
      </w:r>
      <w:hyperlink r:id="rId14" w:history="1">
        <w:r>
          <w:rPr>
            <w:rFonts w:ascii="Times New Roman" w:hAnsi="Times New Roman" w:cs="Times New Roman"/>
            <w:kern w:val="0"/>
            <w:sz w:val="24"/>
            <w:szCs w:val="24"/>
            <w:u w:val="single"/>
          </w:rPr>
          <w:t>частью 3</w:t>
        </w:r>
      </w:hyperlink>
      <w:r>
        <w:rPr>
          <w:rFonts w:ascii="Times New Roman" w:hAnsi="Times New Roman" w:cs="Times New Roman"/>
          <w:kern w:val="0"/>
          <w:sz w:val="24"/>
          <w:szCs w:val="24"/>
        </w:rPr>
        <w:t xml:space="preserve"> статьи 28 Федерального закона "О государственном (муниципальном) социальном заказе на оказание государственных (муниципальных) услуг в социальной сфере". (в ред. Постановления Правительства РФ </w:t>
      </w:r>
      <w:hyperlink r:id="rId15" w:history="1">
        <w:r>
          <w:rPr>
            <w:rFonts w:ascii="Times New Roman" w:hAnsi="Times New Roman" w:cs="Times New Roman"/>
            <w:kern w:val="0"/>
            <w:sz w:val="24"/>
            <w:szCs w:val="24"/>
            <w:u w:val="single"/>
          </w:rPr>
          <w:t>от 09.12.2020 N 2052</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Пункт 2.1 методических рекомендаций по расчету подушевых нормативов </w:t>
      </w:r>
      <w:r>
        <w:rPr>
          <w:rFonts w:ascii="Times New Roman" w:hAnsi="Times New Roman" w:cs="Times New Roman"/>
          <w:b/>
          <w:bCs/>
          <w:i/>
          <w:iCs/>
          <w:kern w:val="0"/>
          <w:sz w:val="24"/>
          <w:szCs w:val="24"/>
        </w:rPr>
        <w:lastRenderedPageBreak/>
        <w:t>финансирования социальных услуг (в редакции Постановления Правительства РФ от 09.12.2020 N 2052) действует до 01.01.2025 (</w:t>
      </w:r>
      <w:hyperlink r:id="rId16" w:history="1">
        <w:r>
          <w:rPr>
            <w:rFonts w:ascii="Times New Roman" w:hAnsi="Times New Roman" w:cs="Times New Roman"/>
            <w:b/>
            <w:bCs/>
            <w:i/>
            <w:iCs/>
            <w:kern w:val="0"/>
            <w:sz w:val="24"/>
            <w:szCs w:val="24"/>
            <w:u w:val="single"/>
          </w:rPr>
          <w:t>пункт 3</w:t>
        </w:r>
      </w:hyperlink>
      <w:r>
        <w:rPr>
          <w:rFonts w:ascii="Times New Roman" w:hAnsi="Times New Roman" w:cs="Times New Roman"/>
          <w:b/>
          <w:bCs/>
          <w:i/>
          <w:iCs/>
          <w:kern w:val="0"/>
          <w:sz w:val="24"/>
          <w:szCs w:val="24"/>
        </w:rPr>
        <w:t xml:space="preserve"> Постановления Правительства РФ от 09.12.2020 N 2052).</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Подушевые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Подушевые нормативы финансирования определяются исходя из прямых и косвенных расходов на предоставление социальных услуг за период (не менее одного года), предшествующий расчетному, с применением индекса роста цен (тарифов) на соответствующие товары и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К прямым расходам на предоставление социальных услуг относятся зависящие от численности получателей социальных услуг расходы, непосредственно связанные с предоставлением социальной услуги ее получателю, которые включают: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 расходы на оплату труда и начисления на выплаты по оплате труда персонала, предоставляющего социальную услугу;</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общехозяйственные расходы, непосредственно связанные с предоставлением социальной услуги ее получателю (расходы на оказание услуг связи, коммунальных и транспортных услуг, материальные затраты и др.);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прочие расходы, непосредственно связанные с предоставлением социальной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К косвенным расходам на предоставление социальных услуг относятся необходимые для предоставления социальной услуги расходы, которые нельзя учесть в себестоимости социальных услуг методом прямого счета (поскольку они не зависят от численности получателей социальных услуг) и которые включают: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 расходы на оплату труда и начисления на выплаты по оплате труда управленческого персонала;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общехозяйственные расходы, необходимые для обеспечения собственных нужд поставщика социальных услуг.</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Подушевой норматив финансирования i-й социальной услуги (</w:t>
      </w:r>
      <w:r w:rsidR="000023AA">
        <w:rPr>
          <w:rFonts w:ascii="Times New Roman" w:hAnsi="Times New Roman" w:cs="Times New Roman"/>
          <w:noProof/>
          <w:kern w:val="0"/>
          <w:sz w:val="24"/>
          <w:szCs w:val="24"/>
        </w:rPr>
        <w:drawing>
          <wp:inline distT="0" distB="0" distL="0" distR="0">
            <wp:extent cx="426720" cy="266700"/>
            <wp:effectExtent l="0" t="0" r="0"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Pr>
          <w:rFonts w:ascii="Times New Roman" w:hAnsi="Times New Roman" w:cs="Times New Roman"/>
          <w:kern w:val="0"/>
          <w:sz w:val="24"/>
          <w:szCs w:val="24"/>
        </w:rPr>
        <w:t xml:space="preserve"> ) рассчитывается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432560" cy="266700"/>
            <wp:effectExtent l="0" t="0" r="0" b="0"/>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26670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304800" cy="289560"/>
            <wp:effectExtent l="0" t="0" r="0" b="0"/>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величина прямых расходов на предоставление i-й социальной услуги;</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350520" cy="266700"/>
            <wp:effectExtent l="0" t="0" r="0" b="0"/>
            <wp:docPr id="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 cy="26670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величина косвенных расходов на предоставление i-й социальной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Величина прямых расходов на предоставление i-й социальной услуги (</w:t>
      </w:r>
      <w:r w:rsidR="000023AA">
        <w:rPr>
          <w:rFonts w:ascii="Times New Roman" w:hAnsi="Times New Roman" w:cs="Times New Roman"/>
          <w:noProof/>
          <w:kern w:val="0"/>
          <w:sz w:val="24"/>
          <w:szCs w:val="24"/>
        </w:rPr>
        <w:drawing>
          <wp:inline distT="0" distB="0" distL="0" distR="0">
            <wp:extent cx="304800" cy="289560"/>
            <wp:effectExtent l="0" t="0" r="0" b="0"/>
            <wp:docPr id="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Times New Roman" w:hAnsi="Times New Roman" w:cs="Times New Roman"/>
          <w:kern w:val="0"/>
          <w:sz w:val="24"/>
          <w:szCs w:val="24"/>
        </w:rPr>
        <w:t xml:space="preserve"> ) рассчитывается исходя из величины (в среднем по субъекту Российской Федерации) </w:t>
      </w:r>
      <w:r>
        <w:rPr>
          <w:rFonts w:ascii="Times New Roman" w:hAnsi="Times New Roman" w:cs="Times New Roman"/>
          <w:kern w:val="0"/>
          <w:sz w:val="24"/>
          <w:szCs w:val="24"/>
        </w:rPr>
        <w:lastRenderedPageBreak/>
        <w:t>указанных в пункте 5 настоящего документа расходов государственных организаций социального обслуживания на предоставление i-й социальной услуги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293620" cy="289560"/>
            <wp:effectExtent l="0" t="0" r="0" b="0"/>
            <wp:docPr id="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3620" cy="28956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97180" cy="259080"/>
            <wp:effectExtent l="0" t="0" r="0" b="0"/>
            <wp:docPr id="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51460" cy="251460"/>
            <wp:effectExtent l="0" t="0" r="0" b="0"/>
            <wp:docPr id="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начисления на выплаты по оплате труда персонала, предоставляющего i-ю социальную услугу, устанавливаемые в процентах от расходов на оплату труда в соответствии с законодательством Российской Федерации;</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495300" cy="289560"/>
            <wp:effectExtent l="0" t="0" r="0" b="0"/>
            <wp:docPr id="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28956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прямые общехозяйственные расходы, непосредственно связанные с предоставлением i-й социальной услуги;</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373380" cy="259080"/>
            <wp:effectExtent l="0" t="0" r="0" b="0"/>
            <wp:docPr id="1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прочие расходы, непосредственно связанные с предоставлением i-й социальной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Величина косвенных расходов на предоставление i-й социальной услуги (</w:t>
      </w:r>
      <w:r w:rsidR="000023AA">
        <w:rPr>
          <w:rFonts w:ascii="Times New Roman" w:hAnsi="Times New Roman" w:cs="Times New Roman"/>
          <w:noProof/>
          <w:kern w:val="0"/>
          <w:sz w:val="24"/>
          <w:szCs w:val="24"/>
        </w:rPr>
        <w:drawing>
          <wp:inline distT="0" distB="0" distL="0" distR="0">
            <wp:extent cx="350520" cy="266700"/>
            <wp:effectExtent l="0" t="0" r="0" b="0"/>
            <wp:docPr id="1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 cy="266700"/>
                    </a:xfrm>
                    <a:prstGeom prst="rect">
                      <a:avLst/>
                    </a:prstGeom>
                    <a:noFill/>
                    <a:ln>
                      <a:noFill/>
                    </a:ln>
                  </pic:spPr>
                </pic:pic>
              </a:graphicData>
            </a:graphic>
          </wp:inline>
        </w:drawing>
      </w:r>
      <w:r>
        <w:rPr>
          <w:rFonts w:ascii="Times New Roman" w:hAnsi="Times New Roman" w:cs="Times New Roman"/>
          <w:kern w:val="0"/>
          <w:sz w:val="24"/>
          <w:szCs w:val="24"/>
        </w:rPr>
        <w:t xml:space="preserve"> ) рассчитывается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440180" cy="312420"/>
            <wp:effectExtent l="0" t="0" r="0" b="0"/>
            <wp:docPr id="1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180" cy="31242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373380" cy="274320"/>
            <wp:effectExtent l="0" t="0" r="0" b="0"/>
            <wp:docPr id="1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380" cy="27432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величина косвенных расходов, включаемых в себестоимость социальных услуг, которые нельзя учесть методом прямого счета;</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312420" cy="266700"/>
            <wp:effectExtent l="0" t="0" r="0" b="0"/>
            <wp:docPr id="1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 cy="26670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коэффициент косвенных расходов, включаемых в себестоимость i-й социальной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Величина косвенных расходов, включаемых в себестоимость социальных услуг (</w:t>
      </w:r>
      <w:r w:rsidR="000023AA">
        <w:rPr>
          <w:rFonts w:ascii="Times New Roman" w:hAnsi="Times New Roman" w:cs="Times New Roman"/>
          <w:noProof/>
          <w:kern w:val="0"/>
          <w:sz w:val="24"/>
          <w:szCs w:val="24"/>
        </w:rPr>
        <w:drawing>
          <wp:inline distT="0" distB="0" distL="0" distR="0">
            <wp:extent cx="373380" cy="274320"/>
            <wp:effectExtent l="0" t="0" r="0" b="0"/>
            <wp:docPr id="1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380" cy="274320"/>
                    </a:xfrm>
                    <a:prstGeom prst="rect">
                      <a:avLst/>
                    </a:prstGeom>
                    <a:noFill/>
                    <a:ln>
                      <a:noFill/>
                    </a:ln>
                  </pic:spPr>
                </pic:pic>
              </a:graphicData>
            </a:graphic>
          </wp:inline>
        </w:drawing>
      </w:r>
      <w:r>
        <w:rPr>
          <w:rFonts w:ascii="Times New Roman" w:hAnsi="Times New Roman" w:cs="Times New Roman"/>
          <w:kern w:val="0"/>
          <w:sz w:val="24"/>
          <w:szCs w:val="24"/>
        </w:rPr>
        <w:t xml:space="preserve"> ), рассчитывается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973580" cy="304800"/>
            <wp:effectExtent l="0" t="0" r="0" b="0"/>
            <wp:docPr id="1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3580" cy="30480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extent cx="365760" cy="266700"/>
            <wp:effectExtent l="0" t="0" r="0" b="0"/>
            <wp:docPr id="1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 cy="26670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36220" cy="274320"/>
            <wp:effectExtent l="0" t="0" r="0" b="0"/>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220" cy="27432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начисления на выплаты по оплате труда управленческого персонала, устанавливаемые в процентах от расходов на оплату труда в соответствии с законодательством Российской Федерации;</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563880" cy="289560"/>
            <wp:effectExtent l="0" t="0" r="0" b="0"/>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880" cy="28956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косвенные общехозяйственные расходы, включающие расходы на оплату работ (услуг), необходимых для обеспечения собственных нужд поставщика социальных услуг.</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Коэффициент косвенных расходов, включаемых в себестоимость i-й социальной услуги (</w:t>
      </w:r>
      <w:r w:rsidR="000023AA">
        <w:rPr>
          <w:rFonts w:ascii="Times New Roman" w:hAnsi="Times New Roman" w:cs="Times New Roman"/>
          <w:noProof/>
          <w:kern w:val="0"/>
          <w:sz w:val="24"/>
          <w:szCs w:val="24"/>
        </w:rPr>
        <w:drawing>
          <wp:inline distT="0" distB="0" distL="0" distR="0">
            <wp:extent cx="312420" cy="266700"/>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 cy="266700"/>
                    </a:xfrm>
                    <a:prstGeom prst="rect">
                      <a:avLst/>
                    </a:prstGeom>
                    <a:noFill/>
                    <a:ln>
                      <a:noFill/>
                    </a:ln>
                  </pic:spPr>
                </pic:pic>
              </a:graphicData>
            </a:graphic>
          </wp:inline>
        </w:drawing>
      </w:r>
      <w:r>
        <w:rPr>
          <w:rFonts w:ascii="Times New Roman" w:hAnsi="Times New Roman" w:cs="Times New Roman"/>
          <w:kern w:val="0"/>
          <w:sz w:val="24"/>
          <w:szCs w:val="24"/>
        </w:rPr>
        <w:t xml:space="preserve"> ), рассчитывается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440180" cy="3276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180" cy="32766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где </w:t>
      </w:r>
      <w:r w:rsidR="000023AA">
        <w:rPr>
          <w:rFonts w:ascii="Times New Roman" w:hAnsi="Times New Roman" w:cs="Times New Roman"/>
          <w:noProof/>
          <w:kern w:val="0"/>
          <w:sz w:val="24"/>
          <w:szCs w:val="24"/>
        </w:rPr>
        <w:drawing>
          <wp:inline distT="0" distB="0" distL="0" distR="0">
            <wp:extent cx="304800" cy="266700"/>
            <wp:effectExtent l="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Pr>
          <w:rFonts w:ascii="Times New Roman" w:hAnsi="Times New Roman" w:cs="Times New Roman"/>
          <w:kern w:val="0"/>
          <w:sz w:val="24"/>
          <w:szCs w:val="24"/>
        </w:rPr>
        <w:t xml:space="preserve">  - величина прямых расходов на предоставление i-й социальной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Величина прямых общехозяйственных расходов, непосредственно связанных с предоставлением i-й социальной услуги (</w:t>
      </w:r>
      <w:r w:rsidR="000023AA">
        <w:rPr>
          <w:rFonts w:ascii="Times New Roman" w:hAnsi="Times New Roman" w:cs="Times New Roman"/>
          <w:noProof/>
          <w:kern w:val="0"/>
          <w:sz w:val="24"/>
          <w:szCs w:val="24"/>
        </w:rPr>
        <w:drawing>
          <wp:inline distT="0" distB="0" distL="0" distR="0">
            <wp:extent cx="495300" cy="259080"/>
            <wp:effectExtent l="0" t="0" r="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Pr>
          <w:rFonts w:ascii="Times New Roman" w:hAnsi="Times New Roman" w:cs="Times New Roman"/>
          <w:kern w:val="0"/>
          <w:sz w:val="24"/>
          <w:szCs w:val="24"/>
        </w:rPr>
        <w:t xml:space="preserve"> ), рассчитывается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478280" cy="274320"/>
            <wp:effectExtent l="0" t="0" r="0"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8280" cy="27432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403860" cy="274320"/>
            <wp:effectExtent l="0" t="0" r="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общехозяйственные расходы;</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36220" cy="259080"/>
            <wp:effectExtent l="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коэффициент отнесения общехозяйственных расходов к прямым расходам, непосредственно связанным с предоставлением i-й социальной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13. Общехозяйственные расходы (</w:t>
      </w:r>
      <w:r w:rsidR="000023AA">
        <w:rPr>
          <w:rFonts w:ascii="Times New Roman" w:hAnsi="Times New Roman" w:cs="Times New Roman"/>
          <w:noProof/>
          <w:kern w:val="0"/>
          <w:sz w:val="24"/>
          <w:szCs w:val="24"/>
        </w:rPr>
        <w:drawing>
          <wp:inline distT="0" distB="0" distL="0" distR="0">
            <wp:extent cx="403860" cy="274320"/>
            <wp:effectExtent l="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Pr>
          <w:rFonts w:ascii="Times New Roman" w:hAnsi="Times New Roman" w:cs="Times New Roman"/>
          <w:kern w:val="0"/>
          <w:sz w:val="24"/>
          <w:szCs w:val="24"/>
        </w:rPr>
        <w:t xml:space="preserve"> ) включают расходы на оказание услуг связи, коммунальных и транспортных услуг, а также материальные затраты и прочие расходы и рассчитываются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209800" cy="274320"/>
            <wp:effectExtent l="0" t="0" r="0" b="0"/>
            <wp:docPr id="2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9800" cy="27432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82880" cy="236220"/>
            <wp:effectExtent l="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расходы на оказание услуг связи;</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extent cx="190500" cy="236220"/>
            <wp:effectExtent l="0" t="0" r="0" b="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расходы на оказание коммунальных услуг;</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28600" cy="228600"/>
            <wp:effectExtent l="0" t="0" r="0" b="0"/>
            <wp:docPr id="3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материальные затраты;</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13360" cy="220980"/>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360" cy="22098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расходы на оказание транспортных услуг;</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59080" cy="266700"/>
            <wp:effectExtent l="0" t="0" r="0"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прочие расходы.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14. Коэффициент отнесения общехозяйственных расходов к прямым расходам, непосредственно связанным с предоставлением i-й социальной услуги (</w:t>
      </w:r>
      <w:r w:rsidR="000023AA">
        <w:rPr>
          <w:rFonts w:ascii="Times New Roman" w:hAnsi="Times New Roman" w:cs="Times New Roman"/>
          <w:noProof/>
          <w:kern w:val="0"/>
          <w:sz w:val="24"/>
          <w:szCs w:val="24"/>
        </w:rPr>
        <w:drawing>
          <wp:inline distT="0" distB="0" distL="0" distR="0">
            <wp:extent cx="236220" cy="259080"/>
            <wp:effectExtent l="0" t="0" r="0" b="0"/>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Pr>
          <w:rFonts w:ascii="Times New Roman" w:hAnsi="Times New Roman" w:cs="Times New Roman"/>
          <w:kern w:val="0"/>
          <w:sz w:val="24"/>
          <w:szCs w:val="24"/>
        </w:rPr>
        <w:t xml:space="preserve"> ), определяется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981200" cy="304800"/>
            <wp:effectExtent l="0" t="0" r="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81200" cy="30480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297180" cy="236220"/>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7180" cy="23622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365760" cy="289560"/>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5760" cy="28956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15. Величина косвенных общехозяйственных расходов (</w:t>
      </w:r>
      <w:r w:rsidR="000023AA">
        <w:rPr>
          <w:rFonts w:ascii="Times New Roman" w:hAnsi="Times New Roman" w:cs="Times New Roman"/>
          <w:noProof/>
          <w:kern w:val="0"/>
          <w:sz w:val="24"/>
          <w:szCs w:val="24"/>
        </w:rPr>
        <w:drawing>
          <wp:inline distT="0" distB="0" distL="0" distR="0">
            <wp:extent cx="563880" cy="266700"/>
            <wp:effectExtent l="0" t="0" r="0"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r>
        <w:rPr>
          <w:rFonts w:ascii="Times New Roman" w:hAnsi="Times New Roman" w:cs="Times New Roman"/>
          <w:kern w:val="0"/>
          <w:sz w:val="24"/>
          <w:szCs w:val="24"/>
        </w:rPr>
        <w:t xml:space="preserve"> ) рассчитывается по формуле: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1965960" cy="289560"/>
            <wp:effectExtent l="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65960" cy="289560"/>
                    </a:xfrm>
                    <a:prstGeom prst="rect">
                      <a:avLst/>
                    </a:prstGeom>
                    <a:noFill/>
                    <a:ln>
                      <a:noFill/>
                    </a:ln>
                  </pic:spPr>
                </pic:pic>
              </a:graphicData>
            </a:graphic>
          </wp:inline>
        </w:drawing>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где:</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342900" cy="289560"/>
            <wp:effectExtent l="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28956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общехозяйственные расходы;</w:t>
      </w:r>
    </w:p>
    <w:p w:rsidR="00000000" w:rsidRDefault="000023AA">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extent cx="525780" cy="266700"/>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a:ln>
                      <a:noFill/>
                    </a:ln>
                  </pic:spPr>
                </pic:pic>
              </a:graphicData>
            </a:graphic>
          </wp:inline>
        </w:drawing>
      </w:r>
      <w:r w:rsidR="00000000">
        <w:rPr>
          <w:rFonts w:ascii="Times New Roman" w:hAnsi="Times New Roman" w:cs="Times New Roman"/>
          <w:kern w:val="0"/>
          <w:sz w:val="24"/>
          <w:szCs w:val="24"/>
        </w:rPr>
        <w:t xml:space="preserve">  - прямые общехозяйственные расходы, непосредственно связанные с предоставлением i-й социальной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16. Косвенные общехозяйственные расходы включают расходы на оплату работ (услуг), необходимых для обеспечения собственных нужд поставщика социальных услуг, в том числе: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 услуги связи;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коммунальные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транспортные услуги;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г) материальные затраты;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 прочие работы (услуги), включающие в том числе работы (услуги) по содержанию имущества (санитарно-гигиеническое обслуживание - дератизация, дезинфекция, вывоз мусора, техническое обслуживание технических средств, текущий ремонт зданий и оборудования, ремонт автотранспорта и другие аналогичные расходы), по установке и монтажу локальных вычислительных сетей, систем охранной и пожарной сигнализации, видеонаблюдения, контроля доступа, а также услуги вневедомственной, пожарной охраны, услуги по страхованию, по изготовлению и (или) приобретению бланочной продукции и услуги в области информационных технологий.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17. Расходы на оказание услуг связи, осуществляемые как для предоставления социальной услуги получателю социальных услуг, так и для обеспечения собственных нужд поставщиков социальных услуг, могут включать расходы на аренду технических средств, телефонную связь, сотовую связь, подключение и использование информационно-телекоммуникационной сети "Интернет", доступ к телефонной сети (установка телефонов), междугородные и международные соединения, местное телефонное соединение (абонентская и повременная оплата), радиосвязь и другие средства связи, пользование радиоточкой, а также расходы, связанные с пересылкой почтовых отправлений, осуществлением почтовых переводов денежных средств, и другие аналогичные расходы.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18. Транспортные расходы поставщиков социальных услуг могут включать расходы,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19. Расходы поставщиков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технологические нужды, потребление газа, электроэнергии, водоснабжение, канализацию, ассенизацию и др.</w:t>
      </w:r>
    </w:p>
    <w:p w:rsidR="00AA411C"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20. Материальные затраты при оказании социальных услуг могут включать расходы на приобретение продуктов питания, а также горючесмазочных материалов, канцелярских товаров и прочих материалов как для оказания социальных услуг, так и для обеспечения собственных нужд поставщика социальных услуг.</w:t>
      </w:r>
    </w:p>
    <w:sectPr w:rsidR="00AA411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AA"/>
    <w:rsid w:val="000023AA"/>
    <w:rsid w:val="00AA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C4A96E-373F-4E76-8A2D-1B3AA81E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66103#l22"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34.jpeg"/><Relationship Id="rId7" Type="http://schemas.openxmlformats.org/officeDocument/2006/relationships/hyperlink" Target="https://normativ.kontur.ru/document?moduleid=1&amp;documentid=378130#l1" TargetMode="External"/><Relationship Id="rId12" Type="http://schemas.openxmlformats.org/officeDocument/2006/relationships/hyperlink" Target="https://normativ.kontur.ru/document?moduleid=1&amp;documentid=378130#l1"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hyperlink" Target="https://normativ.kontur.ru/document?moduleid=1&amp;documentid=378275#l7"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hyperlink" Target="https://normativ.kontur.ru/document?moduleid=1&amp;documentid=368753#l86" TargetMode="External"/><Relationship Id="rId11" Type="http://schemas.openxmlformats.org/officeDocument/2006/relationships/hyperlink" Target="https://normativ.kontur.ru/document?moduleid=1&amp;documentid=378275#l9"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theme" Target="theme/theme1.xml"/><Relationship Id="rId5" Type="http://schemas.openxmlformats.org/officeDocument/2006/relationships/hyperlink" Target="https://normativ.kontur.ru/document?moduleid=1&amp;documentid=368753#l13" TargetMode="External"/><Relationship Id="rId15" Type="http://schemas.openxmlformats.org/officeDocument/2006/relationships/hyperlink" Target="https://normativ.kontur.ru/document?moduleid=1&amp;documentid=378275#l9"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image" Target="media/image33.jpeg"/><Relationship Id="rId10" Type="http://schemas.openxmlformats.org/officeDocument/2006/relationships/hyperlink" Target="https://normativ.kontur.ru/document?moduleid=1&amp;documentid=378275#l7" TargetMode="Externa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image" Target="media/image28.jpeg"/><Relationship Id="rId52" Type="http://schemas.openxmlformats.org/officeDocument/2006/relationships/fontTable" Target="fontTable.xml"/><Relationship Id="rId4" Type="http://schemas.openxmlformats.org/officeDocument/2006/relationships/hyperlink" Target="https://normativ.kontur.ru/document?moduleid=1&amp;documentid=378275#l0" TargetMode="External"/><Relationship Id="rId9" Type="http://schemas.openxmlformats.org/officeDocument/2006/relationships/hyperlink" Target="https://normativ.kontur.ru/document?moduleid=1&amp;documentid=378275#l3" TargetMode="External"/><Relationship Id="rId14" Type="http://schemas.openxmlformats.org/officeDocument/2006/relationships/hyperlink" Target="https://normativ.kontur.ru/document?moduleid=1&amp;documentid=366103#l330"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2.jpeg"/><Relationship Id="rId8" Type="http://schemas.openxmlformats.org/officeDocument/2006/relationships/hyperlink" Target="https://normativ.kontur.ru/document?moduleid=1&amp;documentid=366103#l330" TargetMode="External"/><Relationship Id="rId51" Type="http://schemas.openxmlformats.org/officeDocument/2006/relationships/image" Target="media/image3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2023-06-01T11:12:00Z</dcterms:created>
  <dcterms:modified xsi:type="dcterms:W3CDTF">2023-06-01T11:12:00Z</dcterms:modified>
</cp:coreProperties>
</file>